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523F" w14:textId="279F8705" w:rsidR="00724600" w:rsidRPr="008435BE" w:rsidRDefault="00724600" w:rsidP="00724600">
      <w:pPr>
        <w:spacing w:after="0" w:line="240" w:lineRule="auto"/>
        <w:jc w:val="center"/>
        <w:rPr>
          <w:b/>
          <w:bCs/>
          <w:i/>
          <w:iCs/>
          <w:color w:val="000000" w:themeColor="text1"/>
          <w:sz w:val="36"/>
          <w:szCs w:val="36"/>
        </w:rPr>
      </w:pPr>
      <w:r w:rsidRPr="008435BE">
        <w:rPr>
          <w:b/>
          <w:bCs/>
          <w:i/>
          <w:iCs/>
          <w:color w:val="000000" w:themeColor="text1"/>
          <w:sz w:val="36"/>
          <w:szCs w:val="36"/>
        </w:rPr>
        <w:t xml:space="preserve">Cover Letter for Sample Letter of Medical Necessity </w:t>
      </w:r>
    </w:p>
    <w:p w14:paraId="2F7A1627" w14:textId="71324642" w:rsidR="00724600" w:rsidRPr="008435BE" w:rsidRDefault="00724600" w:rsidP="00724600">
      <w:pPr>
        <w:spacing w:after="0" w:line="240" w:lineRule="auto"/>
        <w:jc w:val="center"/>
        <w:rPr>
          <w:rFonts w:ascii="Arial" w:hAnsi="Arial" w:cs="Arial"/>
          <w:i/>
          <w:iCs/>
          <w:color w:val="000000" w:themeColor="text1"/>
          <w:sz w:val="36"/>
          <w:szCs w:val="36"/>
        </w:rPr>
      </w:pPr>
      <w:r w:rsidRPr="008435BE">
        <w:rPr>
          <w:b/>
          <w:bCs/>
          <w:i/>
          <w:iCs/>
          <w:color w:val="000000" w:themeColor="text1"/>
          <w:sz w:val="36"/>
          <w:szCs w:val="36"/>
        </w:rPr>
        <w:t>for a Patient</w:t>
      </w:r>
      <w:r w:rsidR="00797E6D">
        <w:rPr>
          <w:b/>
          <w:bCs/>
          <w:i/>
          <w:iCs/>
          <w:color w:val="000000" w:themeColor="text1"/>
          <w:sz w:val="36"/>
          <w:szCs w:val="36"/>
        </w:rPr>
        <w:t xml:space="preserve"> to Remain on</w:t>
      </w:r>
      <w:r w:rsidRPr="008435BE" w:rsidDel="0000550E">
        <w:rPr>
          <w:i/>
          <w:iCs/>
          <w:color w:val="000000" w:themeColor="text1"/>
          <w:sz w:val="36"/>
          <w:szCs w:val="36"/>
        </w:rPr>
        <w:t xml:space="preserve"> </w:t>
      </w:r>
      <w:r w:rsidR="00F2791C" w:rsidRPr="00F2791C">
        <w:rPr>
          <w:b/>
          <w:bCs/>
          <w:i/>
          <w:iCs/>
          <w:color w:val="000000" w:themeColor="text1"/>
          <w:sz w:val="36"/>
          <w:szCs w:val="36"/>
        </w:rPr>
        <w:t>Treatment</w:t>
      </w:r>
    </w:p>
    <w:p w14:paraId="79B092C8" w14:textId="77777777" w:rsidR="00724600" w:rsidRPr="00C84A23" w:rsidRDefault="00724600" w:rsidP="00724600">
      <w:pPr>
        <w:spacing w:after="0" w:line="240" w:lineRule="auto"/>
        <w:contextualSpacing/>
        <w:rPr>
          <w:rFonts w:cstheme="minorHAnsi"/>
          <w:b/>
          <w:bCs/>
          <w:color w:val="000000" w:themeColor="text1"/>
        </w:rPr>
      </w:pPr>
    </w:p>
    <w:p w14:paraId="0F42EA23" w14:textId="77777777" w:rsidR="008A4461" w:rsidRDefault="008A4461" w:rsidP="008A4461">
      <w:pPr>
        <w:spacing w:after="0" w:line="240" w:lineRule="auto"/>
        <w:contextualSpacing/>
        <w:jc w:val="center"/>
        <w:rPr>
          <w:rFonts w:cstheme="minorHAnsi"/>
          <w:b/>
          <w:bCs/>
        </w:rPr>
      </w:pPr>
      <w:r w:rsidRPr="00F414AC">
        <w:rPr>
          <w:rFonts w:cstheme="minorHAnsi"/>
          <w:b/>
          <w:bCs/>
          <w:color w:val="000000" w:themeColor="text1"/>
        </w:rPr>
        <w:t xml:space="preserve">The following pages </w:t>
      </w:r>
      <w:r w:rsidRPr="00F414AC">
        <w:rPr>
          <w:rFonts w:cstheme="minorHAnsi"/>
          <w:b/>
          <w:bCs/>
        </w:rPr>
        <w:t xml:space="preserve">may be customized to use as a letter of medical necessity for a </w:t>
      </w:r>
    </w:p>
    <w:p w14:paraId="151D0966" w14:textId="5EEE7F8B" w:rsidR="008A4461" w:rsidRDefault="008A4461" w:rsidP="008A4461">
      <w:pPr>
        <w:spacing w:after="0" w:line="240" w:lineRule="auto"/>
        <w:contextualSpacing/>
        <w:jc w:val="center"/>
        <w:rPr>
          <w:rFonts w:cstheme="minorHAnsi"/>
          <w:b/>
          <w:bCs/>
        </w:rPr>
      </w:pPr>
      <w:r>
        <w:rPr>
          <w:rFonts w:cstheme="minorHAnsi"/>
          <w:b/>
          <w:bCs/>
        </w:rPr>
        <w:t>p</w:t>
      </w:r>
      <w:r w:rsidRPr="00F414AC">
        <w:rPr>
          <w:rFonts w:cstheme="minorHAnsi"/>
          <w:b/>
          <w:bCs/>
        </w:rPr>
        <w:t>atient</w:t>
      </w:r>
      <w:r>
        <w:rPr>
          <w:rFonts w:cstheme="minorHAnsi"/>
          <w:b/>
          <w:bCs/>
        </w:rPr>
        <w:t xml:space="preserve"> to</w:t>
      </w:r>
      <w:r w:rsidRPr="00F414AC">
        <w:rPr>
          <w:rFonts w:cstheme="minorHAnsi"/>
          <w:b/>
          <w:bCs/>
        </w:rPr>
        <w:t xml:space="preserve"> </w:t>
      </w:r>
      <w:r>
        <w:rPr>
          <w:rFonts w:cstheme="minorHAnsi"/>
          <w:b/>
          <w:bCs/>
        </w:rPr>
        <w:t>remain on</w:t>
      </w:r>
      <w:r w:rsidRPr="00F414AC">
        <w:rPr>
          <w:rFonts w:cstheme="minorHAnsi"/>
          <w:b/>
          <w:bCs/>
        </w:rPr>
        <w:t xml:space="preserve"> disease-modifying therapy for relapsing multiple sclerosis</w:t>
      </w:r>
      <w:r w:rsidR="002B4304">
        <w:rPr>
          <w:rFonts w:cstheme="minorHAnsi"/>
          <w:b/>
          <w:bCs/>
        </w:rPr>
        <w:t xml:space="preserve"> (RMS)</w:t>
      </w:r>
      <w:r w:rsidRPr="00F414AC">
        <w:rPr>
          <w:rFonts w:cstheme="minorHAnsi"/>
          <w:b/>
          <w:bCs/>
        </w:rPr>
        <w:t xml:space="preserve">. </w:t>
      </w:r>
    </w:p>
    <w:p w14:paraId="63860C8F" w14:textId="77777777" w:rsidR="00724600" w:rsidRPr="00C84A23" w:rsidRDefault="00724600" w:rsidP="00724600">
      <w:pPr>
        <w:spacing w:after="0" w:line="240" w:lineRule="auto"/>
        <w:contextualSpacing/>
        <w:jc w:val="center"/>
        <w:rPr>
          <w:rFonts w:cstheme="minorHAnsi"/>
          <w:b/>
          <w:bCs/>
        </w:rPr>
      </w:pPr>
      <w:r w:rsidRPr="00C84A23">
        <w:rPr>
          <w:rFonts w:cstheme="minorHAnsi"/>
          <w:b/>
          <w:bCs/>
        </w:rPr>
        <w:t>Please note that the Important Safety Information does not need to be included as part of your letter.</w:t>
      </w:r>
    </w:p>
    <w:p w14:paraId="289CB46D" w14:textId="77777777" w:rsidR="00724600" w:rsidRPr="00850068" w:rsidRDefault="00724600" w:rsidP="00724600">
      <w:pPr>
        <w:spacing w:after="0" w:line="240" w:lineRule="auto"/>
        <w:contextualSpacing/>
        <w:rPr>
          <w:rFonts w:cstheme="minorHAnsi"/>
          <w:b/>
          <w:bCs/>
        </w:rPr>
      </w:pPr>
    </w:p>
    <w:p w14:paraId="1EC27159" w14:textId="729E6D40" w:rsidR="00724600" w:rsidRDefault="00724600" w:rsidP="00724600">
      <w:pPr>
        <w:spacing w:after="0" w:line="240" w:lineRule="auto"/>
        <w:contextualSpacing/>
        <w:rPr>
          <w:rFonts w:cstheme="minorHAnsi"/>
        </w:rPr>
      </w:pPr>
      <w:r>
        <w:t xml:space="preserve">The following sample letter is intended to be used as a guide; </w:t>
      </w:r>
      <w:r w:rsidR="005A641F">
        <w:t>therefore,</w:t>
      </w:r>
      <w:r>
        <w:t xml:space="preserve"> it is important to tailor the letter to the specific needs of your patients and address</w:t>
      </w:r>
      <w:r>
        <w:rPr>
          <w:rFonts w:ascii="Calibri" w:eastAsia="Times New Roman" w:hAnsi="Calibri" w:cs="Calibri"/>
          <w:color w:val="000000" w:themeColor="text1"/>
          <w:bdr w:val="none" w:sz="0" w:space="0" w:color="auto" w:frame="1"/>
        </w:rPr>
        <w:t xml:space="preserve"> the reason(s) why </w:t>
      </w:r>
      <w:r w:rsidR="00682814">
        <w:rPr>
          <w:rFonts w:ascii="Calibri" w:eastAsia="Times New Roman" w:hAnsi="Calibri" w:cs="Calibri"/>
          <w:color w:val="000000" w:themeColor="text1"/>
          <w:bdr w:val="none" w:sz="0" w:space="0" w:color="auto" w:frame="1"/>
        </w:rPr>
        <w:t>TYSABRI</w:t>
      </w:r>
      <w:r>
        <w:rPr>
          <w:rFonts w:ascii="Calibri" w:eastAsia="Times New Roman" w:hAnsi="Calibri" w:cs="Calibri"/>
          <w:color w:val="000000" w:themeColor="text1"/>
          <w:bdr w:val="none" w:sz="0" w:space="0" w:color="auto" w:frame="1"/>
        </w:rPr>
        <w:t>® (</w:t>
      </w:r>
      <w:r w:rsidR="00682814">
        <w:rPr>
          <w:rFonts w:ascii="Calibri" w:eastAsia="Times New Roman" w:hAnsi="Calibri" w:cs="Calibri"/>
          <w:color w:val="000000" w:themeColor="text1"/>
          <w:bdr w:val="none" w:sz="0" w:space="0" w:color="auto" w:frame="1"/>
        </w:rPr>
        <w:t>natalizumab</w:t>
      </w:r>
      <w:r>
        <w:rPr>
          <w:rFonts w:ascii="Calibri" w:eastAsia="Times New Roman" w:hAnsi="Calibri" w:cs="Calibri"/>
          <w:color w:val="000000" w:themeColor="text1"/>
          <w:bdr w:val="none" w:sz="0" w:space="0" w:color="auto" w:frame="1"/>
        </w:rPr>
        <w:t xml:space="preserve">) is the appropriate treatment option. You should always include pertinent clinical information that supports your decision to prescribe </w:t>
      </w:r>
      <w:r w:rsidR="00682814">
        <w:rPr>
          <w:rFonts w:ascii="Calibri" w:eastAsia="Times New Roman" w:hAnsi="Calibri" w:cs="Calibri"/>
          <w:color w:val="000000" w:themeColor="text1"/>
          <w:bdr w:val="none" w:sz="0" w:space="0" w:color="auto" w:frame="1"/>
        </w:rPr>
        <w:t>TYSABRI</w:t>
      </w:r>
      <w:r>
        <w:rPr>
          <w:rFonts w:ascii="Calibri" w:eastAsia="Times New Roman" w:hAnsi="Calibri" w:cs="Calibri"/>
          <w:color w:val="000000" w:themeColor="text1"/>
          <w:bdr w:val="none" w:sz="0" w:space="0" w:color="auto" w:frame="1"/>
        </w:rPr>
        <w:t>.</w:t>
      </w:r>
    </w:p>
    <w:p w14:paraId="24831C34" w14:textId="77777777" w:rsidR="00724600" w:rsidRPr="00C84A23" w:rsidRDefault="00724600" w:rsidP="00724600">
      <w:pPr>
        <w:spacing w:after="0" w:line="240" w:lineRule="auto"/>
        <w:contextualSpacing/>
        <w:rPr>
          <w:rFonts w:cstheme="minorHAnsi"/>
        </w:rPr>
      </w:pPr>
    </w:p>
    <w:p w14:paraId="54DDCB8F" w14:textId="77777777" w:rsidR="00724600" w:rsidRPr="00C84A23" w:rsidRDefault="00724600" w:rsidP="00724600">
      <w:pPr>
        <w:spacing w:after="0" w:line="240" w:lineRule="auto"/>
        <w:contextualSpacing/>
        <w:rPr>
          <w:rFonts w:cstheme="minorHAnsi"/>
        </w:rPr>
      </w:pPr>
      <w:r w:rsidRPr="00C84A23">
        <w:rPr>
          <w:rFonts w:cstheme="minorHAnsi"/>
        </w:rPr>
        <w:t xml:space="preserve">Please see below for considerations when writing a letter of medical necessity: </w:t>
      </w:r>
    </w:p>
    <w:p w14:paraId="5BD71087" w14:textId="77777777" w:rsidR="00724600" w:rsidRPr="004E5E33" w:rsidRDefault="00724600" w:rsidP="00724600">
      <w:pPr>
        <w:pStyle w:val="ListParagraph"/>
        <w:numPr>
          <w:ilvl w:val="0"/>
          <w:numId w:val="4"/>
        </w:numPr>
        <w:spacing w:after="0" w:line="240" w:lineRule="auto"/>
        <w:rPr>
          <w:rFonts w:cstheme="minorHAnsi"/>
        </w:rPr>
      </w:pPr>
      <w:r w:rsidRPr="00C84A23">
        <w:rPr>
          <w:rFonts w:cstheme="minorHAnsi"/>
        </w:rPr>
        <w:t>Review the health plan’s medical policy criteria and point out the criteria that your patient meets</w:t>
      </w:r>
      <w:r>
        <w:rPr>
          <w:rFonts w:cstheme="minorHAnsi"/>
        </w:rPr>
        <w:t>.</w:t>
      </w:r>
      <w:r w:rsidRPr="00C84A23">
        <w:rPr>
          <w:rFonts w:cstheme="minorHAnsi"/>
        </w:rPr>
        <w:t xml:space="preserve"> Explain why your patient should be excluded from any criteria that he/she/they do(es) not meet</w:t>
      </w:r>
    </w:p>
    <w:p w14:paraId="64A1F43E" w14:textId="77777777" w:rsidR="00724600" w:rsidRPr="00C84A23" w:rsidRDefault="00724600" w:rsidP="00724600">
      <w:pPr>
        <w:pStyle w:val="ListParagraph"/>
        <w:numPr>
          <w:ilvl w:val="0"/>
          <w:numId w:val="4"/>
        </w:numPr>
        <w:spacing w:after="0" w:line="240" w:lineRule="auto"/>
        <w:rPr>
          <w:rFonts w:cstheme="minorHAnsi"/>
        </w:rPr>
      </w:pPr>
      <w:r w:rsidRPr="00C84A23">
        <w:rPr>
          <w:rFonts w:cstheme="minorHAnsi"/>
        </w:rPr>
        <w:t>Provide background on your patient’s condition and clearly state your patient’s individual circumstances to justify why the prescribed therapy is the appropriate choice</w:t>
      </w:r>
    </w:p>
    <w:p w14:paraId="3423C943" w14:textId="77777777" w:rsidR="00724600" w:rsidRPr="00C84A23" w:rsidRDefault="00724600" w:rsidP="00724600">
      <w:pPr>
        <w:pStyle w:val="ListParagraph"/>
        <w:numPr>
          <w:ilvl w:val="0"/>
          <w:numId w:val="4"/>
        </w:numPr>
        <w:spacing w:after="0" w:line="240" w:lineRule="auto"/>
        <w:rPr>
          <w:rFonts w:cstheme="minorHAnsi"/>
        </w:rPr>
      </w:pPr>
      <w:r w:rsidRPr="00C84A23">
        <w:rPr>
          <w:rFonts w:cstheme="minorHAnsi"/>
        </w:rPr>
        <w:t>Provide clinical justification and include copies of relevant clinical data to support your decision (eg, chart notes, MRI data, etc)</w:t>
      </w:r>
    </w:p>
    <w:p w14:paraId="5BECE7E7" w14:textId="77777777" w:rsidR="00724600" w:rsidRPr="00C84A23" w:rsidRDefault="00724600" w:rsidP="00724600">
      <w:pPr>
        <w:pStyle w:val="ListParagraph"/>
        <w:numPr>
          <w:ilvl w:val="0"/>
          <w:numId w:val="4"/>
        </w:numPr>
        <w:spacing w:after="0" w:line="240" w:lineRule="auto"/>
        <w:rPr>
          <w:rFonts w:cstheme="minorHAnsi"/>
        </w:rPr>
      </w:pPr>
      <w:r w:rsidRPr="00C84A23">
        <w:rPr>
          <w:rFonts w:cstheme="minorHAnsi"/>
        </w:rPr>
        <w:t xml:space="preserve">Submit the letter as required by </w:t>
      </w:r>
      <w:r>
        <w:rPr>
          <w:rFonts w:cstheme="minorHAnsi"/>
        </w:rPr>
        <w:t xml:space="preserve">the </w:t>
      </w:r>
      <w:r w:rsidRPr="00C84A23">
        <w:rPr>
          <w:rFonts w:cstheme="minorHAnsi"/>
        </w:rPr>
        <w:t>health plan and state guidelines. It is important that you understand the process for each</w:t>
      </w:r>
      <w:r>
        <w:rPr>
          <w:rFonts w:cstheme="minorHAnsi"/>
        </w:rPr>
        <w:t xml:space="preserve"> health plan</w:t>
      </w:r>
      <w:r w:rsidRPr="00C84A23">
        <w:rPr>
          <w:rFonts w:cstheme="minorHAnsi"/>
        </w:rPr>
        <w:t xml:space="preserve">, including how to submit the request (fax, phone, email, the company’s website, etc) </w:t>
      </w:r>
      <w:r>
        <w:rPr>
          <w:rFonts w:cstheme="minorHAnsi"/>
        </w:rPr>
        <w:t>as well as</w:t>
      </w:r>
      <w:r w:rsidRPr="00C84A23">
        <w:rPr>
          <w:rFonts w:cstheme="minorHAnsi"/>
        </w:rPr>
        <w:t xml:space="preserve"> how and when the decision will be communicated </w:t>
      </w:r>
    </w:p>
    <w:p w14:paraId="7C16E28E" w14:textId="177AEFC2" w:rsidR="00E60AD8" w:rsidRPr="008B7D33" w:rsidRDefault="008B7D33" w:rsidP="008B7D33">
      <w:pPr>
        <w:pStyle w:val="ListParagraph"/>
        <w:numPr>
          <w:ilvl w:val="0"/>
          <w:numId w:val="4"/>
        </w:numPr>
        <w:spacing w:after="0" w:line="240" w:lineRule="auto"/>
        <w:rPr>
          <w:rFonts w:cstheme="minorHAnsi"/>
        </w:rPr>
      </w:pPr>
      <w:r>
        <w:rPr>
          <w:noProof/>
        </w:rPr>
        <mc:AlternateContent>
          <mc:Choice Requires="wps">
            <w:drawing>
              <wp:anchor distT="0" distB="0" distL="114300" distR="114300" simplePos="0" relativeHeight="251659264" behindDoc="1" locked="0" layoutInCell="1" allowOverlap="1" wp14:anchorId="61948400" wp14:editId="7052BC7D">
                <wp:simplePos x="0" y="0"/>
                <wp:positionH relativeFrom="column">
                  <wp:posOffset>-116732</wp:posOffset>
                </wp:positionH>
                <wp:positionV relativeFrom="paragraph">
                  <wp:posOffset>277292</wp:posOffset>
                </wp:positionV>
                <wp:extent cx="7089032" cy="4649822"/>
                <wp:effectExtent l="0" t="0" r="0" b="0"/>
                <wp:wrapNone/>
                <wp:docPr id="1" name="Rounded Rectangle 1"/>
                <wp:cNvGraphicFramePr/>
                <a:graphic xmlns:a="http://schemas.openxmlformats.org/drawingml/2006/main">
                  <a:graphicData uri="http://schemas.microsoft.com/office/word/2010/wordprocessingShape">
                    <wps:wsp>
                      <wps:cNvSpPr/>
                      <wps:spPr>
                        <a:xfrm>
                          <a:off x="0" y="0"/>
                          <a:ext cx="7089032" cy="4649822"/>
                        </a:xfrm>
                        <a:prstGeom prst="roundRect">
                          <a:avLst>
                            <a:gd name="adj" fmla="val 3851"/>
                          </a:avLst>
                        </a:prstGeom>
                        <a:solidFill>
                          <a:schemeClr val="bg1">
                            <a:lumMod val="65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57A4707" id="Rounded Rectangle 1" o:spid="_x0000_s1026" style="position:absolute;margin-left:-9.2pt;margin-top:21.85pt;width:558.2pt;height:36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" fillcolor="#a5a5a5 [2092]" stroked="f">
                <v:fill opacity="32896f"/>
              </v:roundrect>
            </w:pict>
          </mc:Fallback>
        </mc:AlternateContent>
      </w:r>
      <w:r w:rsidR="00724600" w:rsidRPr="00C84A23">
        <w:rPr>
          <w:rFonts w:cstheme="minorHAnsi"/>
        </w:rPr>
        <w:t>Track the status of your request and follow</w:t>
      </w:r>
      <w:r w:rsidR="00724600">
        <w:rPr>
          <w:rFonts w:cstheme="minorHAnsi"/>
        </w:rPr>
        <w:t xml:space="preserve"> </w:t>
      </w:r>
      <w:r w:rsidR="00724600" w:rsidRPr="00C84A23">
        <w:rPr>
          <w:rFonts w:cstheme="minorHAnsi"/>
        </w:rPr>
        <w:t xml:space="preserve">up with the </w:t>
      </w:r>
      <w:r w:rsidR="00724600">
        <w:rPr>
          <w:rFonts w:cstheme="minorHAnsi"/>
        </w:rPr>
        <w:t>health plan</w:t>
      </w:r>
      <w:r w:rsidR="00724600" w:rsidRPr="00C84A23">
        <w:rPr>
          <w:rFonts w:cstheme="minorHAnsi"/>
        </w:rPr>
        <w:t xml:space="preserve"> as needed</w:t>
      </w:r>
      <w:r>
        <w:rPr>
          <w:rFonts w:cstheme="minorHAnsi"/>
        </w:rPr>
        <w:br/>
      </w:r>
    </w:p>
    <w:p w14:paraId="7A1B89E8" w14:textId="11C837CB" w:rsidR="00F3327D" w:rsidRPr="00F3327D" w:rsidRDefault="008B7D33" w:rsidP="00F3327D">
      <w:pPr>
        <w:pStyle w:val="Footer"/>
        <w:rPr>
          <w:b/>
          <w:bCs/>
        </w:rPr>
      </w:pPr>
      <w:r>
        <w:rPr>
          <w:b/>
          <w:bCs/>
        </w:rPr>
        <w:t>INDICATION</w:t>
      </w:r>
    </w:p>
    <w:p w14:paraId="0D86884A" w14:textId="006DEDD3" w:rsidR="00F3327D" w:rsidRPr="00F3327D" w:rsidRDefault="00F3327D" w:rsidP="00F3327D">
      <w:pPr>
        <w:pStyle w:val="Footer"/>
      </w:pPr>
      <w:r w:rsidRPr="00F3327D">
        <w:t>TYSABRI® (natalizumab) is indicated as monotherapy for the treatment of relapsing forms of multiple sclerosis, to include clinically isolated syndrome, relapsing-remitting disease, and active secondary progressive disease, in adults. TYSABRI increases the risk of PML. When initiating and continuing treatment with TYSABRI, physicians should consider whether the expected benefit of TYSABRI is sufficient to offset this risk.</w:t>
      </w:r>
    </w:p>
    <w:p w14:paraId="4314A897" w14:textId="52B1FE87" w:rsidR="0015581C" w:rsidRPr="00FD1C2D" w:rsidRDefault="0015581C" w:rsidP="0015581C">
      <w:pPr>
        <w:pStyle w:val="Footer"/>
      </w:pPr>
    </w:p>
    <w:p w14:paraId="73471BD2" w14:textId="000BED20" w:rsidR="00F3327D" w:rsidRPr="00F3327D" w:rsidRDefault="00F3327D" w:rsidP="00F3327D">
      <w:pPr>
        <w:pStyle w:val="Footer"/>
        <w:rPr>
          <w:b/>
          <w:bCs/>
        </w:rPr>
      </w:pPr>
      <w:r w:rsidRPr="00F3327D">
        <w:rPr>
          <w:b/>
          <w:bCs/>
        </w:rPr>
        <w:t>IMPORTANT SAFETY INFORMATION</w:t>
      </w:r>
    </w:p>
    <w:p w14:paraId="26599AA5" w14:textId="28FAC508" w:rsidR="00F3327D" w:rsidRPr="000D212B" w:rsidRDefault="00F3327D" w:rsidP="00F3327D">
      <w:pPr>
        <w:rPr>
          <w:rFonts w:cstheme="minorHAnsi"/>
          <w:b/>
          <w:bCs/>
          <w:color w:val="000000" w:themeColor="text1"/>
        </w:rPr>
      </w:pPr>
      <w:r w:rsidRPr="000D212B">
        <w:rPr>
          <w:rFonts w:cstheme="minorHAnsi"/>
          <w:b/>
          <w:bCs/>
          <w:color w:val="000000" w:themeColor="text1"/>
        </w:rPr>
        <w:t>WARNING: Progressive Multifocal Leukoencephalopathy (PML)</w:t>
      </w:r>
    </w:p>
    <w:p w14:paraId="024EF0EF" w14:textId="644A4783" w:rsidR="00F3327D" w:rsidRPr="00F3327D" w:rsidRDefault="00F3327D" w:rsidP="00F3327D">
      <w:pPr>
        <w:rPr>
          <w:rFonts w:cstheme="minorHAnsi"/>
          <w:color w:val="000000" w:themeColor="text1"/>
        </w:rPr>
      </w:pPr>
      <w:r w:rsidRPr="000D212B">
        <w:rPr>
          <w:rFonts w:cstheme="minorHAnsi"/>
          <w:b/>
          <w:bCs/>
          <w:color w:val="000000" w:themeColor="text1"/>
        </w:rPr>
        <w:t>TYSABRI® (natalizumab) increases the risk of PML, an opportunistic viral infection of the brain that usually leads to death or severe disability. Risk factors for the development of PML include the presence of anti-JCV antibodies, duration of therapy, and prior use of immunosuppressants. These factors should be considered in the context of expected benefit when initiating and continuing treatment with TYSABRI.</w:t>
      </w:r>
    </w:p>
    <w:p w14:paraId="61A6DA59" w14:textId="5772A33F" w:rsidR="0015581C" w:rsidRPr="00F3327D" w:rsidRDefault="00F3327D" w:rsidP="00F3327D">
      <w:pPr>
        <w:rPr>
          <w:rFonts w:cstheme="minorHAnsi"/>
          <w:color w:val="000000" w:themeColor="text1"/>
        </w:rPr>
      </w:pPr>
      <w:r w:rsidRPr="000D212B">
        <w:rPr>
          <w:rFonts w:cstheme="minorHAnsi"/>
          <w:b/>
          <w:bCs/>
          <w:color w:val="000000" w:themeColor="text1"/>
        </w:rPr>
        <w:t>Healthcare professionals should monitor patients on TYSABRI for any new sign or symptom that may be suggestive of PML. TYSABRI dosing should be withheld immediately at the first sign or symptom suggestive of PML. For diagnosis, an evaluation including a gadolinium-enhanced MRI scan of the brain and, when indicated, cerebrospinal fluid analysis for JC viral DNA are recommended.</w:t>
      </w:r>
    </w:p>
    <w:p w14:paraId="0219D00D" w14:textId="77777777" w:rsidR="00F3327D" w:rsidRPr="00F3327D" w:rsidRDefault="00F3327D" w:rsidP="00F3327D">
      <w:pPr>
        <w:spacing w:after="0" w:line="240" w:lineRule="auto"/>
        <w:rPr>
          <w:rFonts w:cstheme="minorHAnsi"/>
          <w:color w:val="000000" w:themeColor="text1"/>
        </w:rPr>
      </w:pPr>
      <w:r w:rsidRPr="00F3327D">
        <w:rPr>
          <w:rFonts w:cstheme="minorHAnsi"/>
          <w:b/>
          <w:bCs/>
          <w:color w:val="000000" w:themeColor="text1"/>
        </w:rPr>
        <w:t>Because of the risk of PML, TYSABRI is available only through a restricted program under a Risk Evaluation and Mitigation Strategy (REMS) called the TOUCH</w:t>
      </w:r>
      <w:r w:rsidRPr="00F3327D">
        <w:rPr>
          <w:rFonts w:cstheme="minorHAnsi"/>
          <w:b/>
          <w:bCs/>
          <w:color w:val="000000" w:themeColor="text1"/>
          <w:vertAlign w:val="superscript"/>
        </w:rPr>
        <w:t>®</w:t>
      </w:r>
      <w:r w:rsidRPr="00F3327D">
        <w:rPr>
          <w:rFonts w:cstheme="minorHAnsi"/>
          <w:b/>
          <w:bCs/>
          <w:color w:val="000000" w:themeColor="text1"/>
        </w:rPr>
        <w:t> Prescribing Program.</w:t>
      </w:r>
    </w:p>
    <w:p w14:paraId="334F43D6" w14:textId="77777777" w:rsidR="00F3327D" w:rsidRPr="00F3327D" w:rsidRDefault="00F3327D" w:rsidP="008B7D33">
      <w:pPr>
        <w:numPr>
          <w:ilvl w:val="0"/>
          <w:numId w:val="21"/>
        </w:numPr>
        <w:spacing w:after="0" w:line="240" w:lineRule="auto"/>
        <w:rPr>
          <w:rFonts w:cstheme="minorHAnsi"/>
          <w:color w:val="000000" w:themeColor="text1"/>
        </w:rPr>
      </w:pPr>
      <w:r w:rsidRPr="00F3327D">
        <w:rPr>
          <w:rFonts w:cstheme="minorHAnsi"/>
          <w:color w:val="000000" w:themeColor="text1"/>
        </w:rPr>
        <w:t>Infection by the JC Virus (JCV) is required for the development of PML</w:t>
      </w:r>
    </w:p>
    <w:p w14:paraId="02EA3CAB" w14:textId="77777777" w:rsidR="00F3327D" w:rsidRPr="00F3327D" w:rsidRDefault="00F3327D" w:rsidP="008B7D33">
      <w:pPr>
        <w:numPr>
          <w:ilvl w:val="0"/>
          <w:numId w:val="21"/>
        </w:numPr>
        <w:spacing w:after="0" w:line="240" w:lineRule="auto"/>
        <w:rPr>
          <w:rFonts w:cstheme="minorHAnsi"/>
          <w:color w:val="000000" w:themeColor="text1"/>
        </w:rPr>
      </w:pPr>
      <w:r w:rsidRPr="00F3327D">
        <w:rPr>
          <w:rFonts w:cstheme="minorHAnsi"/>
          <w:color w:val="000000" w:themeColor="text1"/>
        </w:rPr>
        <w:t>There are no known interventions that can reliably prevent PML or that can adequately treat PML if it occurs</w:t>
      </w:r>
    </w:p>
    <w:p w14:paraId="1828D7BB" w14:textId="77777777" w:rsidR="008B7D33" w:rsidRDefault="00F3327D" w:rsidP="008B7D33">
      <w:pPr>
        <w:pStyle w:val="ListParagraph"/>
        <w:numPr>
          <w:ilvl w:val="0"/>
          <w:numId w:val="21"/>
        </w:numPr>
        <w:spacing w:after="0" w:line="240" w:lineRule="auto"/>
        <w:rPr>
          <w:rFonts w:cstheme="minorHAnsi"/>
          <w:color w:val="000000" w:themeColor="text1"/>
        </w:rPr>
      </w:pPr>
      <w:r w:rsidRPr="008B7D33">
        <w:rPr>
          <w:rFonts w:cstheme="minorHAnsi"/>
          <w:color w:val="000000" w:themeColor="text1"/>
        </w:rPr>
        <w:t xml:space="preserve">Postmarketing data suggest that the risk of developing PML may be associated with relative levels of serum </w:t>
      </w:r>
      <w:r w:rsidR="00D82E95" w:rsidRPr="008B7D33">
        <w:rPr>
          <w:rFonts w:cstheme="minorHAnsi"/>
          <w:color w:val="000000" w:themeColor="text1"/>
        </w:rPr>
        <w:br/>
      </w:r>
      <w:r w:rsidRPr="008B7D33">
        <w:rPr>
          <w:rFonts w:cstheme="minorHAnsi"/>
          <w:color w:val="000000" w:themeColor="text1"/>
        </w:rPr>
        <w:t xml:space="preserve">anti-JCV antibody compared to a calibrator as measured by ELISA (often described as an anti-JCV antibody </w:t>
      </w:r>
      <w:r w:rsidR="00D82E95" w:rsidRPr="008B7D33">
        <w:rPr>
          <w:rFonts w:cstheme="minorHAnsi"/>
          <w:color w:val="000000" w:themeColor="text1"/>
        </w:rPr>
        <w:br/>
      </w:r>
      <w:r w:rsidRPr="008B7D33">
        <w:rPr>
          <w:rFonts w:cstheme="minorHAnsi"/>
          <w:color w:val="000000" w:themeColor="text1"/>
        </w:rPr>
        <w:t>index value)</w:t>
      </w:r>
    </w:p>
    <w:p w14:paraId="327AB197" w14:textId="3493A48D" w:rsidR="008B7D33" w:rsidRDefault="008B7D33" w:rsidP="008B7D33">
      <w:pPr>
        <w:spacing w:after="0" w:line="240" w:lineRule="auto"/>
        <w:jc w:val="center"/>
        <w:rPr>
          <w:rFonts w:cstheme="minorHAnsi"/>
          <w:color w:val="000000" w:themeColor="text1"/>
        </w:rPr>
      </w:pPr>
      <w:r>
        <w:br/>
        <w:t xml:space="preserve">Please see Important Safety Information continued on next page and full </w:t>
      </w:r>
      <w:hyperlink r:id="rId5" w:history="1">
        <w:r w:rsidRPr="008B7D33">
          <w:rPr>
            <w:rStyle w:val="Hyperlink"/>
            <w:rFonts w:cstheme="minorHAnsi"/>
            <w:b/>
          </w:rPr>
          <w:t>Prescribing Information</w:t>
        </w:r>
      </w:hyperlink>
      <w:r>
        <w:t>.</w:t>
      </w:r>
      <w:r w:rsidR="002244EC" w:rsidRPr="002244EC">
        <w:rPr>
          <w:noProof/>
        </w:rPr>
        <w:t xml:space="preserve"> </w:t>
      </w:r>
    </w:p>
    <w:p w14:paraId="24CD9FCD" w14:textId="6E09BB60" w:rsidR="00F3327D" w:rsidRPr="008B7D33" w:rsidRDefault="008B7D33" w:rsidP="008B7D33">
      <w:pPr>
        <w:numPr>
          <w:ilvl w:val="0"/>
          <w:numId w:val="21"/>
        </w:numPr>
        <w:spacing w:after="0" w:line="240" w:lineRule="auto"/>
        <w:rPr>
          <w:rFonts w:cstheme="minorHAnsi"/>
          <w:color w:val="000000" w:themeColor="text1"/>
        </w:rPr>
      </w:pPr>
      <w:r>
        <w:rPr>
          <w:rFonts w:cstheme="minorHAnsi"/>
          <w:b/>
          <w:noProof/>
        </w:rPr>
        <w:lastRenderedPageBreak/>
        <mc:AlternateContent>
          <mc:Choice Requires="wps">
            <w:drawing>
              <wp:anchor distT="0" distB="0" distL="114300" distR="114300" simplePos="0" relativeHeight="251667456" behindDoc="1" locked="0" layoutInCell="1" allowOverlap="1" wp14:anchorId="70BB5B07" wp14:editId="6CD303F9">
                <wp:simplePos x="0" y="0"/>
                <wp:positionH relativeFrom="column">
                  <wp:posOffset>-68094</wp:posOffset>
                </wp:positionH>
                <wp:positionV relativeFrom="paragraph">
                  <wp:posOffset>-155643</wp:posOffset>
                </wp:positionV>
                <wp:extent cx="7088505" cy="8677073"/>
                <wp:effectExtent l="0" t="0" r="0" b="0"/>
                <wp:wrapNone/>
                <wp:docPr id="1358953194" name="Rounded Rectangle 1358953194"/>
                <wp:cNvGraphicFramePr/>
                <a:graphic xmlns:a="http://schemas.openxmlformats.org/drawingml/2006/main">
                  <a:graphicData uri="http://schemas.microsoft.com/office/word/2010/wordprocessingShape">
                    <wps:wsp>
                      <wps:cNvSpPr/>
                      <wps:spPr>
                        <a:xfrm>
                          <a:off x="0" y="0"/>
                          <a:ext cx="7088505" cy="8677073"/>
                        </a:xfrm>
                        <a:prstGeom prst="roundRect">
                          <a:avLst>
                            <a:gd name="adj" fmla="val 3851"/>
                          </a:avLst>
                        </a:prstGeom>
                        <a:solidFill>
                          <a:schemeClr val="bg1">
                            <a:lumMod val="65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2816D99" id="Rounded Rectangle 1358953194" o:spid="_x0000_s1026" style="position:absolute;margin-left:-5.35pt;margin-top:-12.25pt;width:558.15pt;height:68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" fillcolor="#a5a5a5 [2092]" stroked="f">
                <v:fill opacity="32896f"/>
              </v:roundrect>
            </w:pict>
          </mc:Fallback>
        </mc:AlternateContent>
      </w:r>
      <w:r w:rsidR="00F3327D" w:rsidRPr="008B7D33">
        <w:rPr>
          <w:rFonts w:cstheme="minorHAnsi"/>
          <w:color w:val="000000" w:themeColor="text1"/>
        </w:rPr>
        <w:t>MRI findings may be apparent before clinical signs or symptoms suggestive of PML. Monitoring with MRI for signs that may be consistent with PML may be useful, and any suspicious findings should lead to further investigation to allow for an early diagnosis of PML, if present. Consider monitoring patients at high risk for PML more frequently. Lower PML-related mortality and morbidity have been reported following TYSABRI discontinuation in patients with PML who were initially asymptomatic compared to patients with PML who had characteristic clinical signs and symptoms at diagnosis</w:t>
      </w:r>
    </w:p>
    <w:p w14:paraId="7F7843ED" w14:textId="1F7FDD33" w:rsidR="00F3327D" w:rsidRPr="00F3327D" w:rsidRDefault="00F3327D" w:rsidP="00F3327D">
      <w:pPr>
        <w:numPr>
          <w:ilvl w:val="0"/>
          <w:numId w:val="21"/>
        </w:numPr>
        <w:spacing w:after="0" w:line="240" w:lineRule="auto"/>
        <w:rPr>
          <w:rFonts w:cstheme="minorHAnsi"/>
          <w:color w:val="000000" w:themeColor="text1"/>
        </w:rPr>
      </w:pPr>
      <w:r w:rsidRPr="00F3327D">
        <w:rPr>
          <w:rFonts w:cstheme="minorHAnsi"/>
          <w:color w:val="000000" w:themeColor="text1"/>
        </w:rPr>
        <w:t>PML has been reported after discontinuation of TYSABRI in patients who did not have findings suggestive of PML at the time of discontinuation. Patients should continue to be monitored for any new signs or symptoms that may be suggestive of PML for at least 6 months after discontinuation of TYSABRI</w:t>
      </w:r>
    </w:p>
    <w:p w14:paraId="43D2CDBD" w14:textId="7E9365DC" w:rsidR="00F3327D" w:rsidRPr="00F3327D" w:rsidRDefault="00F3327D" w:rsidP="00F3327D">
      <w:pPr>
        <w:numPr>
          <w:ilvl w:val="0"/>
          <w:numId w:val="21"/>
        </w:numPr>
        <w:spacing w:after="0" w:line="240" w:lineRule="auto"/>
        <w:rPr>
          <w:rFonts w:cstheme="minorHAnsi"/>
          <w:color w:val="000000" w:themeColor="text1"/>
        </w:rPr>
      </w:pPr>
      <w:r w:rsidRPr="00F3327D">
        <w:rPr>
          <w:rFonts w:cstheme="minorHAnsi"/>
          <w:color w:val="000000" w:themeColor="text1"/>
        </w:rPr>
        <w:t>Adverse events that may occur during plasma exchange (PLEX) include clearance of other medications and volume shifts, which have the potential to lead to hypotension or pulmonary edema. Although PLEX has not been prospectively studied in TYSABRI-treated patients with PML, it has been used in such patients in the postmarketing setting to remove TYSABRI more quickly from the circulation. There is no evidence that PLEX has any benefit in the treatment of opportunistic infections such as PML</w:t>
      </w:r>
    </w:p>
    <w:p w14:paraId="092BA235" w14:textId="1B9EE292" w:rsidR="00F3327D" w:rsidRPr="00F3327D" w:rsidRDefault="00F3327D" w:rsidP="00F3327D">
      <w:pPr>
        <w:numPr>
          <w:ilvl w:val="0"/>
          <w:numId w:val="21"/>
        </w:numPr>
        <w:spacing w:after="0" w:line="240" w:lineRule="auto"/>
        <w:rPr>
          <w:rFonts w:cstheme="minorHAnsi"/>
          <w:color w:val="000000" w:themeColor="text1"/>
        </w:rPr>
      </w:pPr>
      <w:r w:rsidRPr="00F3327D">
        <w:rPr>
          <w:rFonts w:cstheme="minorHAnsi"/>
          <w:color w:val="000000" w:themeColor="text1"/>
        </w:rPr>
        <w:t>JCV infection of granule cell neurons in the cerebellum, i.e., JCV granule cell neuronopathy (GCN), with symptoms similar to PML, has been reported in patients treated with TYSABRI. JCV GCN can occur with or without concomitant PML and can cause cerebellar dysfunction. Diagnosis and management of JCV GCN should follow guidance provided for PML</w:t>
      </w:r>
    </w:p>
    <w:p w14:paraId="0C8981BF" w14:textId="77777777" w:rsidR="008B7D33" w:rsidRDefault="00F3327D" w:rsidP="00F3327D">
      <w:pPr>
        <w:numPr>
          <w:ilvl w:val="0"/>
          <w:numId w:val="21"/>
        </w:numPr>
        <w:spacing w:after="0" w:line="240" w:lineRule="auto"/>
        <w:rPr>
          <w:rFonts w:cstheme="minorHAnsi"/>
          <w:color w:val="000000" w:themeColor="text1"/>
        </w:rPr>
      </w:pPr>
      <w:r w:rsidRPr="00F3327D">
        <w:rPr>
          <w:rFonts w:cstheme="minorHAnsi"/>
          <w:color w:val="000000" w:themeColor="text1"/>
        </w:rPr>
        <w:t>Immune reconstitution inflammatory syndrome (IRIS) has been reported in the majority of TYSABRI-treated patients who developed PML and subsequently discontinued TYSABRI. In almost all cases, IRIS occurred after PLEX was used to eliminate circulating TYSABRI. It presents as a clinical decline in the patient’s condition after TYSABRI removal (and, in some cases, after apparent clinical improvement) that may be rapid, can lead to serious neurological complications or death, and is often associated with characteristic changes in the MRI. TYSABRI has not been associated with IRIS in patients discontinuing treatment with TYSABRI for reasons unrelated to PML. In TYSABRI-treated patients with PML, IRIS has been reported within days to several weeks after PLEX. Monitoring for development of IRIS and appropriate treatment of the associated inflammation should be undertaken</w:t>
      </w:r>
    </w:p>
    <w:p w14:paraId="60719068" w14:textId="12432201" w:rsidR="00F3327D" w:rsidRPr="008B7D33" w:rsidRDefault="00F3327D" w:rsidP="008B7D33">
      <w:pPr>
        <w:spacing w:after="0" w:line="240" w:lineRule="auto"/>
        <w:rPr>
          <w:rFonts w:cstheme="minorHAnsi"/>
          <w:color w:val="000000" w:themeColor="text1"/>
        </w:rPr>
      </w:pPr>
      <w:r w:rsidRPr="008B7D33">
        <w:rPr>
          <w:rFonts w:cstheme="minorHAnsi"/>
          <w:b/>
          <w:bCs/>
          <w:color w:val="000000" w:themeColor="text1"/>
        </w:rPr>
        <w:t>Contraindications</w:t>
      </w:r>
    </w:p>
    <w:p w14:paraId="7FBDD74B" w14:textId="77777777" w:rsidR="00F3327D" w:rsidRPr="00F3327D" w:rsidRDefault="00F3327D" w:rsidP="00F3327D">
      <w:pPr>
        <w:numPr>
          <w:ilvl w:val="0"/>
          <w:numId w:val="22"/>
        </w:numPr>
        <w:spacing w:after="0" w:line="240" w:lineRule="auto"/>
        <w:rPr>
          <w:rFonts w:cstheme="minorHAnsi"/>
          <w:color w:val="000000" w:themeColor="text1"/>
        </w:rPr>
      </w:pPr>
      <w:r w:rsidRPr="00F3327D">
        <w:rPr>
          <w:rFonts w:cstheme="minorHAnsi"/>
          <w:color w:val="000000" w:themeColor="text1"/>
        </w:rPr>
        <w:t>TYSABRI is contraindicated in patients who have or have had PML</w:t>
      </w:r>
    </w:p>
    <w:p w14:paraId="30F95F91" w14:textId="77777777" w:rsidR="00F3327D" w:rsidRPr="00F3327D" w:rsidRDefault="00F3327D" w:rsidP="00F3327D">
      <w:pPr>
        <w:numPr>
          <w:ilvl w:val="0"/>
          <w:numId w:val="22"/>
        </w:numPr>
        <w:spacing w:after="0" w:line="240" w:lineRule="auto"/>
        <w:rPr>
          <w:rFonts w:cstheme="minorHAnsi"/>
          <w:color w:val="000000" w:themeColor="text1"/>
        </w:rPr>
      </w:pPr>
      <w:r w:rsidRPr="00F3327D">
        <w:rPr>
          <w:rFonts w:cstheme="minorHAnsi"/>
          <w:color w:val="000000" w:themeColor="text1"/>
        </w:rPr>
        <w:t>TYSABRI is contraindicated in patients who have had a hypersensitivity reaction to TYSABRI</w:t>
      </w:r>
    </w:p>
    <w:p w14:paraId="08DBF186" w14:textId="77777777" w:rsidR="00F3327D" w:rsidRPr="00F3327D" w:rsidRDefault="00F3327D" w:rsidP="00F3327D">
      <w:pPr>
        <w:spacing w:after="0" w:line="240" w:lineRule="auto"/>
        <w:rPr>
          <w:rFonts w:cstheme="minorHAnsi"/>
          <w:b/>
          <w:bCs/>
          <w:color w:val="000000" w:themeColor="text1"/>
        </w:rPr>
      </w:pPr>
      <w:r w:rsidRPr="00F3327D">
        <w:rPr>
          <w:rFonts w:cstheme="minorHAnsi"/>
          <w:b/>
          <w:bCs/>
          <w:color w:val="000000" w:themeColor="text1"/>
        </w:rPr>
        <w:t>TYSABRI TOUCH Prescribing Program</w:t>
      </w:r>
    </w:p>
    <w:p w14:paraId="78CD64E3" w14:textId="77777777" w:rsidR="00F3327D" w:rsidRPr="00F3327D" w:rsidRDefault="00F3327D" w:rsidP="00F3327D">
      <w:pPr>
        <w:numPr>
          <w:ilvl w:val="0"/>
          <w:numId w:val="23"/>
        </w:numPr>
        <w:spacing w:after="0" w:line="240" w:lineRule="auto"/>
        <w:rPr>
          <w:rFonts w:cstheme="minorHAnsi"/>
          <w:color w:val="000000" w:themeColor="text1"/>
        </w:rPr>
      </w:pPr>
      <w:r w:rsidRPr="00F3327D">
        <w:rPr>
          <w:rFonts w:cstheme="minorHAnsi"/>
          <w:color w:val="000000" w:themeColor="text1"/>
        </w:rPr>
        <w:t>Because of the risk of PML, TYSABRI is available only through a restricted distribution program under a REMS called the TOUCH</w:t>
      </w:r>
      <w:r w:rsidRPr="00F3327D">
        <w:rPr>
          <w:rFonts w:cstheme="minorHAnsi"/>
          <w:color w:val="000000" w:themeColor="text1"/>
          <w:vertAlign w:val="superscript"/>
        </w:rPr>
        <w:t>®</w:t>
      </w:r>
      <w:r w:rsidRPr="00F3327D">
        <w:rPr>
          <w:rFonts w:cstheme="minorHAnsi"/>
          <w:color w:val="000000" w:themeColor="text1"/>
        </w:rPr>
        <w:t> Prescribing Program</w:t>
      </w:r>
    </w:p>
    <w:p w14:paraId="7AA4560B" w14:textId="352A20B0" w:rsidR="00F3327D" w:rsidRPr="00F3327D" w:rsidRDefault="00F3327D" w:rsidP="00F3327D">
      <w:pPr>
        <w:numPr>
          <w:ilvl w:val="0"/>
          <w:numId w:val="23"/>
        </w:numPr>
        <w:spacing w:after="0" w:line="240" w:lineRule="auto"/>
        <w:rPr>
          <w:rFonts w:cstheme="minorHAnsi"/>
          <w:color w:val="000000" w:themeColor="text1"/>
        </w:rPr>
      </w:pPr>
      <w:r w:rsidRPr="00F3327D">
        <w:rPr>
          <w:rFonts w:cstheme="minorHAnsi"/>
          <w:color w:val="000000" w:themeColor="text1"/>
        </w:rPr>
        <w:t>Patients must be enrolled in the TOUCH Prescribing Program, read the Medication Guide, understand the risks associated with TYSABRI, and complete and sign the Patient Enrollment Form</w:t>
      </w:r>
    </w:p>
    <w:p w14:paraId="6148F009" w14:textId="77777777" w:rsidR="00F3327D" w:rsidRPr="00F3327D" w:rsidRDefault="00F3327D" w:rsidP="00F3327D">
      <w:pPr>
        <w:spacing w:after="0" w:line="240" w:lineRule="auto"/>
        <w:rPr>
          <w:rFonts w:cstheme="minorHAnsi"/>
          <w:b/>
          <w:bCs/>
          <w:color w:val="000000" w:themeColor="text1"/>
        </w:rPr>
      </w:pPr>
      <w:r w:rsidRPr="00F3327D">
        <w:rPr>
          <w:rFonts w:cstheme="minorHAnsi"/>
          <w:b/>
          <w:bCs/>
          <w:color w:val="000000" w:themeColor="text1"/>
        </w:rPr>
        <w:t>Herpes Infections – Encephalitis, Meningitis and Acute Retinal Necrosis</w:t>
      </w:r>
    </w:p>
    <w:p w14:paraId="462D77B7" w14:textId="77777777" w:rsidR="00F3327D" w:rsidRPr="00F3327D" w:rsidRDefault="00F3327D" w:rsidP="00F3327D">
      <w:pPr>
        <w:numPr>
          <w:ilvl w:val="0"/>
          <w:numId w:val="24"/>
        </w:numPr>
        <w:spacing w:after="0" w:line="240" w:lineRule="auto"/>
        <w:rPr>
          <w:rFonts w:cstheme="minorHAnsi"/>
          <w:color w:val="000000" w:themeColor="text1"/>
        </w:rPr>
      </w:pPr>
      <w:r w:rsidRPr="00F3327D">
        <w:rPr>
          <w:rFonts w:cstheme="minorHAnsi"/>
          <w:color w:val="000000" w:themeColor="text1"/>
        </w:rPr>
        <w:t>TYSABRI increases the risk of developing encephalitis and meningitis caused by herpes simplex and varicella zoster viruses</w:t>
      </w:r>
    </w:p>
    <w:p w14:paraId="59567747" w14:textId="77777777" w:rsidR="00F3327D" w:rsidRPr="00F3327D" w:rsidRDefault="00F3327D" w:rsidP="00F3327D">
      <w:pPr>
        <w:numPr>
          <w:ilvl w:val="0"/>
          <w:numId w:val="24"/>
        </w:numPr>
        <w:spacing w:after="0" w:line="240" w:lineRule="auto"/>
        <w:rPr>
          <w:rFonts w:cstheme="minorHAnsi"/>
          <w:color w:val="000000" w:themeColor="text1"/>
        </w:rPr>
      </w:pPr>
      <w:r w:rsidRPr="00F3327D">
        <w:rPr>
          <w:rFonts w:cstheme="minorHAnsi"/>
          <w:color w:val="000000" w:themeColor="text1"/>
        </w:rPr>
        <w:t>Serious, life-threatening, and sometimes fatal cases have been reported in the postmarketing setting in multiple sclerosis patients receiving TYSABRI</w:t>
      </w:r>
    </w:p>
    <w:p w14:paraId="652AC9CA" w14:textId="00A39C75" w:rsidR="00F3327D" w:rsidRPr="00F3327D" w:rsidRDefault="00F3327D" w:rsidP="00F3327D">
      <w:pPr>
        <w:numPr>
          <w:ilvl w:val="0"/>
          <w:numId w:val="24"/>
        </w:numPr>
        <w:spacing w:after="0" w:line="240" w:lineRule="auto"/>
        <w:rPr>
          <w:rFonts w:cstheme="minorHAnsi"/>
          <w:color w:val="000000" w:themeColor="text1"/>
        </w:rPr>
      </w:pPr>
      <w:r w:rsidRPr="00F3327D">
        <w:rPr>
          <w:rFonts w:cstheme="minorHAnsi"/>
          <w:color w:val="000000" w:themeColor="text1"/>
        </w:rPr>
        <w:t>The duration of treatment with TYSABRI prior to onset ranged from a few months to several years</w:t>
      </w:r>
    </w:p>
    <w:p w14:paraId="358C32E9" w14:textId="77777777" w:rsidR="00F3327D" w:rsidRPr="00F3327D" w:rsidRDefault="00F3327D" w:rsidP="00F3327D">
      <w:pPr>
        <w:numPr>
          <w:ilvl w:val="0"/>
          <w:numId w:val="24"/>
        </w:numPr>
        <w:spacing w:after="0" w:line="240" w:lineRule="auto"/>
        <w:rPr>
          <w:rFonts w:cstheme="minorHAnsi"/>
          <w:color w:val="000000" w:themeColor="text1"/>
        </w:rPr>
      </w:pPr>
      <w:r w:rsidRPr="00F3327D">
        <w:rPr>
          <w:rFonts w:cstheme="minorHAnsi"/>
          <w:color w:val="000000" w:themeColor="text1"/>
        </w:rPr>
        <w:t>Monitor patients receiving TYSABRI for signs and symptoms of meningitis and encephalitis. If herpes encephalitis or meningitis occurs, TYSABRI should be discontinued, and appropriate treatment for herpes encephalitis/meningitis should be administered</w:t>
      </w:r>
    </w:p>
    <w:p w14:paraId="5E89D708" w14:textId="375B6B40" w:rsidR="00F3327D" w:rsidRPr="00F3327D" w:rsidRDefault="00F3327D" w:rsidP="00F3327D">
      <w:pPr>
        <w:numPr>
          <w:ilvl w:val="0"/>
          <w:numId w:val="24"/>
        </w:numPr>
        <w:spacing w:after="0" w:line="240" w:lineRule="auto"/>
        <w:rPr>
          <w:rFonts w:cstheme="minorHAnsi"/>
          <w:color w:val="000000" w:themeColor="text1"/>
        </w:rPr>
      </w:pPr>
      <w:r w:rsidRPr="00F3327D">
        <w:rPr>
          <w:rFonts w:cstheme="minorHAnsi"/>
          <w:color w:val="000000" w:themeColor="text1"/>
        </w:rPr>
        <w:t>Patients being administered TYSABRI are at a higher risk of acute retinal necrosis (ARN), a fulminant viral infection of the retina caused by the family of herpes viruses. Patients with eye symptoms such as decreased visual acuity, redness or eye pain should be referred for retinal screening as serious cases of ARN can lead to blindness of one or both eyes</w:t>
      </w:r>
    </w:p>
    <w:p w14:paraId="690B2532" w14:textId="6F061854" w:rsidR="00F3327D" w:rsidRDefault="00F3327D" w:rsidP="00F3327D">
      <w:pPr>
        <w:numPr>
          <w:ilvl w:val="0"/>
          <w:numId w:val="24"/>
        </w:numPr>
        <w:spacing w:after="0" w:line="240" w:lineRule="auto"/>
        <w:rPr>
          <w:rFonts w:cstheme="minorHAnsi"/>
          <w:color w:val="000000" w:themeColor="text1"/>
        </w:rPr>
      </w:pPr>
      <w:r w:rsidRPr="00F3327D">
        <w:rPr>
          <w:rFonts w:cstheme="minorHAnsi"/>
          <w:color w:val="000000" w:themeColor="text1"/>
        </w:rPr>
        <w:t>Following clinical diagnosis of ARN, consider discontinuation of TYSABRI</w:t>
      </w:r>
    </w:p>
    <w:p w14:paraId="35D860CB" w14:textId="7634BD46" w:rsidR="00D82E95" w:rsidRPr="00F3327D" w:rsidRDefault="00D82E95" w:rsidP="008B7D33">
      <w:pPr>
        <w:spacing w:after="0" w:line="240" w:lineRule="auto"/>
        <w:rPr>
          <w:rFonts w:cstheme="minorHAnsi"/>
          <w:color w:val="000000" w:themeColor="text1"/>
        </w:rPr>
      </w:pPr>
    </w:p>
    <w:p w14:paraId="6B9EE074" w14:textId="138886BA" w:rsidR="00F3327D" w:rsidRPr="00F3327D" w:rsidRDefault="00F3327D" w:rsidP="00F3327D">
      <w:pPr>
        <w:spacing w:after="0" w:line="240" w:lineRule="auto"/>
        <w:rPr>
          <w:rFonts w:cstheme="minorHAnsi"/>
          <w:b/>
          <w:bCs/>
          <w:color w:val="000000" w:themeColor="text1"/>
        </w:rPr>
      </w:pPr>
    </w:p>
    <w:p w14:paraId="666145D0" w14:textId="77777777" w:rsidR="008B7D33" w:rsidRDefault="008B7D33" w:rsidP="00F3327D">
      <w:pPr>
        <w:spacing w:after="0" w:line="240" w:lineRule="auto"/>
        <w:rPr>
          <w:rFonts w:cstheme="minorHAnsi"/>
          <w:b/>
          <w:bCs/>
          <w:color w:val="000000" w:themeColor="text1"/>
        </w:rPr>
      </w:pPr>
    </w:p>
    <w:p w14:paraId="7EC58BE0" w14:textId="77777777" w:rsidR="008B7D33" w:rsidRDefault="008B7D33" w:rsidP="008B7D33">
      <w:pPr>
        <w:spacing w:after="0" w:line="240" w:lineRule="auto"/>
        <w:jc w:val="center"/>
        <w:rPr>
          <w:rFonts w:cstheme="minorHAnsi"/>
          <w:color w:val="000000" w:themeColor="text1"/>
        </w:rPr>
      </w:pPr>
      <w:r>
        <w:t xml:space="preserve">Please see Important Safety Information continued on next page and full </w:t>
      </w:r>
      <w:hyperlink r:id="rId6" w:history="1">
        <w:r w:rsidRPr="008435BE">
          <w:rPr>
            <w:rStyle w:val="Hyperlink"/>
            <w:rFonts w:cstheme="minorHAnsi"/>
            <w:b/>
          </w:rPr>
          <w:t>Prescribing Information</w:t>
        </w:r>
      </w:hyperlink>
      <w:r>
        <w:t>.</w:t>
      </w:r>
    </w:p>
    <w:p w14:paraId="4915B48E" w14:textId="2D233862" w:rsidR="00F3327D" w:rsidRPr="00F3327D" w:rsidRDefault="008B7D33" w:rsidP="00F3327D">
      <w:pPr>
        <w:spacing w:after="0" w:line="240" w:lineRule="auto"/>
        <w:rPr>
          <w:rFonts w:cstheme="minorHAnsi"/>
          <w:b/>
          <w:bCs/>
          <w:color w:val="000000" w:themeColor="text1"/>
        </w:rPr>
      </w:pPr>
      <w:r>
        <w:rPr>
          <w:rFonts w:cstheme="minorHAnsi"/>
          <w:b/>
          <w:noProof/>
        </w:rPr>
        <w:lastRenderedPageBreak/>
        <mc:AlternateContent>
          <mc:Choice Requires="wps">
            <w:drawing>
              <wp:anchor distT="0" distB="0" distL="114300" distR="114300" simplePos="0" relativeHeight="251663360" behindDoc="1" locked="0" layoutInCell="1" allowOverlap="1" wp14:anchorId="3F22752E" wp14:editId="41A7BA14">
                <wp:simplePos x="0" y="0"/>
                <wp:positionH relativeFrom="column">
                  <wp:posOffset>-126365</wp:posOffset>
                </wp:positionH>
                <wp:positionV relativeFrom="paragraph">
                  <wp:posOffset>-77970</wp:posOffset>
                </wp:positionV>
                <wp:extent cx="7088505" cy="8881353"/>
                <wp:effectExtent l="0" t="0" r="0" b="0"/>
                <wp:wrapNone/>
                <wp:docPr id="1041690471" name="Rounded Rectangle 1041690471"/>
                <wp:cNvGraphicFramePr/>
                <a:graphic xmlns:a="http://schemas.openxmlformats.org/drawingml/2006/main">
                  <a:graphicData uri="http://schemas.microsoft.com/office/word/2010/wordprocessingShape">
                    <wps:wsp>
                      <wps:cNvSpPr/>
                      <wps:spPr>
                        <a:xfrm>
                          <a:off x="0" y="0"/>
                          <a:ext cx="7088505" cy="8881353"/>
                        </a:xfrm>
                        <a:prstGeom prst="roundRect">
                          <a:avLst>
                            <a:gd name="adj" fmla="val 3851"/>
                          </a:avLst>
                        </a:prstGeom>
                        <a:solidFill>
                          <a:schemeClr val="bg1">
                            <a:lumMod val="65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6A441D5" id="Rounded Rectangle 1041690471" o:spid="_x0000_s1026" style="position:absolute;margin-left:-9.95pt;margin-top:-6.15pt;width:558.15pt;height:69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" fillcolor="#a5a5a5 [2092]" stroked="f">
                <v:fill opacity="32896f"/>
              </v:roundrect>
            </w:pict>
          </mc:Fallback>
        </mc:AlternateContent>
      </w:r>
      <w:r w:rsidR="00F3327D" w:rsidRPr="00F3327D">
        <w:rPr>
          <w:rFonts w:cstheme="minorHAnsi"/>
          <w:b/>
          <w:bCs/>
          <w:color w:val="000000" w:themeColor="text1"/>
        </w:rPr>
        <w:t>Hepatotoxicity</w:t>
      </w:r>
    </w:p>
    <w:p w14:paraId="60BC9383" w14:textId="0003DB66" w:rsidR="00F3327D" w:rsidRPr="00F3327D" w:rsidRDefault="00F3327D" w:rsidP="00F3327D">
      <w:pPr>
        <w:numPr>
          <w:ilvl w:val="0"/>
          <w:numId w:val="25"/>
        </w:numPr>
        <w:spacing w:after="0" w:line="240" w:lineRule="auto"/>
        <w:rPr>
          <w:rFonts w:cstheme="minorHAnsi"/>
          <w:color w:val="000000" w:themeColor="text1"/>
        </w:rPr>
      </w:pPr>
      <w:r w:rsidRPr="00F3327D">
        <w:rPr>
          <w:rFonts w:cstheme="minorHAnsi"/>
          <w:color w:val="000000" w:themeColor="text1"/>
        </w:rPr>
        <w:t>Clinically significant liver injury, including acute liver failure requiring transplant, has been reported in patients treated with TYSABRI in the postmarketing setting</w:t>
      </w:r>
    </w:p>
    <w:p w14:paraId="3D73DFF5" w14:textId="24C506E8" w:rsidR="00F3327D" w:rsidRPr="00F3327D" w:rsidRDefault="00F3327D" w:rsidP="00F3327D">
      <w:pPr>
        <w:numPr>
          <w:ilvl w:val="0"/>
          <w:numId w:val="25"/>
        </w:numPr>
        <w:spacing w:after="0" w:line="240" w:lineRule="auto"/>
        <w:rPr>
          <w:rFonts w:cstheme="minorHAnsi"/>
          <w:color w:val="000000" w:themeColor="text1"/>
        </w:rPr>
      </w:pPr>
      <w:r w:rsidRPr="00F3327D">
        <w:rPr>
          <w:rFonts w:cstheme="minorHAnsi"/>
          <w:color w:val="000000" w:themeColor="text1"/>
        </w:rPr>
        <w:t xml:space="preserve">Signs of liver injury, including markedly elevated serum hepatic enzymes and elevated total bilirubin, occurred </w:t>
      </w:r>
      <w:r w:rsidR="00EC3494">
        <w:rPr>
          <w:rFonts w:cstheme="minorHAnsi"/>
          <w:color w:val="000000" w:themeColor="text1"/>
        </w:rPr>
        <w:br/>
      </w:r>
      <w:r w:rsidRPr="00F3327D">
        <w:rPr>
          <w:rFonts w:cstheme="minorHAnsi"/>
          <w:color w:val="000000" w:themeColor="text1"/>
        </w:rPr>
        <w:t>as early as six days after the first dose; signs of liver injury have also been reported for the first time after multiple doses</w:t>
      </w:r>
    </w:p>
    <w:p w14:paraId="21638BE7" w14:textId="13F49519" w:rsidR="00F3327D" w:rsidRPr="00F3327D" w:rsidRDefault="00F3327D" w:rsidP="00F3327D">
      <w:pPr>
        <w:numPr>
          <w:ilvl w:val="0"/>
          <w:numId w:val="25"/>
        </w:numPr>
        <w:spacing w:after="0" w:line="240" w:lineRule="auto"/>
        <w:rPr>
          <w:rFonts w:cstheme="minorHAnsi"/>
          <w:color w:val="000000" w:themeColor="text1"/>
        </w:rPr>
      </w:pPr>
      <w:r w:rsidRPr="00F3327D">
        <w:rPr>
          <w:rFonts w:cstheme="minorHAnsi"/>
          <w:color w:val="000000" w:themeColor="text1"/>
        </w:rPr>
        <w:t>TYSABRI should be discontinued in patients with jaundice or other evidence of significant liver injury (e.g., laboratory evidence)</w:t>
      </w:r>
    </w:p>
    <w:p w14:paraId="6E2A410E" w14:textId="3E034DCC" w:rsidR="00F3327D" w:rsidRPr="00F3327D" w:rsidRDefault="00F3327D" w:rsidP="00F3327D">
      <w:pPr>
        <w:spacing w:after="0" w:line="240" w:lineRule="auto"/>
        <w:rPr>
          <w:rFonts w:cstheme="minorHAnsi"/>
          <w:b/>
          <w:bCs/>
          <w:color w:val="000000" w:themeColor="text1"/>
        </w:rPr>
      </w:pPr>
      <w:r w:rsidRPr="00F3327D">
        <w:rPr>
          <w:rFonts w:cstheme="minorHAnsi"/>
          <w:b/>
          <w:bCs/>
          <w:color w:val="000000" w:themeColor="text1"/>
        </w:rPr>
        <w:t>Hypersensitivity/Antibody Formation</w:t>
      </w:r>
    </w:p>
    <w:p w14:paraId="660EA953" w14:textId="5587DC5B" w:rsidR="00F3327D" w:rsidRPr="00F3327D" w:rsidRDefault="00F3327D" w:rsidP="00F3327D">
      <w:pPr>
        <w:numPr>
          <w:ilvl w:val="0"/>
          <w:numId w:val="26"/>
        </w:numPr>
        <w:spacing w:after="0" w:line="240" w:lineRule="auto"/>
        <w:rPr>
          <w:rFonts w:cstheme="minorHAnsi"/>
          <w:color w:val="000000" w:themeColor="text1"/>
        </w:rPr>
      </w:pPr>
      <w:r w:rsidRPr="00F3327D">
        <w:rPr>
          <w:rFonts w:cstheme="minorHAnsi"/>
          <w:color w:val="000000" w:themeColor="text1"/>
        </w:rPr>
        <w:t>Hypersensitivity reactions have occurred in patients receiving TYSABRI, including serious systemic reactions (e.g., anaphylaxis) which occurred at an incidence of &lt;1%</w:t>
      </w:r>
    </w:p>
    <w:p w14:paraId="5B82D401" w14:textId="61EED649" w:rsidR="00F3327D" w:rsidRPr="00F3327D" w:rsidRDefault="00F3327D" w:rsidP="00F3327D">
      <w:pPr>
        <w:numPr>
          <w:ilvl w:val="0"/>
          <w:numId w:val="26"/>
        </w:numPr>
        <w:spacing w:after="0" w:line="240" w:lineRule="auto"/>
        <w:rPr>
          <w:rFonts w:cstheme="minorHAnsi"/>
          <w:color w:val="000000" w:themeColor="text1"/>
        </w:rPr>
      </w:pPr>
      <w:r w:rsidRPr="00F3327D">
        <w:rPr>
          <w:rFonts w:cstheme="minorHAnsi"/>
          <w:color w:val="000000" w:themeColor="text1"/>
        </w:rPr>
        <w:t xml:space="preserve">Reactions usually occur within 2 hours of the start of the infusion. Symptoms associated with these reactions can include urticaria, dizziness, fever, rash, rigors, pruritus, nausea, flushing, hypotension, dyspnea, and </w:t>
      </w:r>
      <w:r w:rsidR="00FA5F0E">
        <w:rPr>
          <w:rFonts w:cstheme="minorHAnsi"/>
          <w:color w:val="000000" w:themeColor="text1"/>
        </w:rPr>
        <w:br/>
      </w:r>
      <w:r w:rsidRPr="00F3327D">
        <w:rPr>
          <w:rFonts w:cstheme="minorHAnsi"/>
          <w:color w:val="000000" w:themeColor="text1"/>
        </w:rPr>
        <w:t>chest pain</w:t>
      </w:r>
    </w:p>
    <w:p w14:paraId="450C180F" w14:textId="1FB5E762" w:rsidR="00F3327D" w:rsidRPr="00F3327D" w:rsidRDefault="00F3327D" w:rsidP="00F3327D">
      <w:pPr>
        <w:numPr>
          <w:ilvl w:val="0"/>
          <w:numId w:val="26"/>
        </w:numPr>
        <w:spacing w:after="0" w:line="240" w:lineRule="auto"/>
        <w:rPr>
          <w:rFonts w:cstheme="minorHAnsi"/>
          <w:color w:val="000000" w:themeColor="text1"/>
        </w:rPr>
      </w:pPr>
      <w:r w:rsidRPr="00F3327D">
        <w:rPr>
          <w:rFonts w:cstheme="minorHAnsi"/>
          <w:color w:val="000000" w:themeColor="text1"/>
        </w:rPr>
        <w:t>If a hypersensitivity reaction occurs, discontinue administration of TYSABRI and initiate appropriate therapy. Patients who experience a hypersensitivity reaction should not be re-treated with TYSABRI</w:t>
      </w:r>
    </w:p>
    <w:p w14:paraId="7C03CE4A" w14:textId="05FF70BA" w:rsidR="00F3327D" w:rsidRPr="00F3327D" w:rsidRDefault="00F3327D" w:rsidP="00F3327D">
      <w:pPr>
        <w:numPr>
          <w:ilvl w:val="0"/>
          <w:numId w:val="26"/>
        </w:numPr>
        <w:spacing w:after="0" w:line="240" w:lineRule="auto"/>
        <w:rPr>
          <w:rFonts w:cstheme="minorHAnsi"/>
          <w:color w:val="000000" w:themeColor="text1"/>
        </w:rPr>
      </w:pPr>
      <w:r w:rsidRPr="00F3327D">
        <w:rPr>
          <w:rFonts w:cstheme="minorHAnsi"/>
          <w:color w:val="000000" w:themeColor="text1"/>
        </w:rPr>
        <w:t>Hypersensitivity reactions were more frequent in patients with antibodies to TYSABRI compared with patients who did not develop antibodies to TYSABRI in both MS and CD studies</w:t>
      </w:r>
    </w:p>
    <w:p w14:paraId="390DDABA" w14:textId="542873F2" w:rsidR="00F3327D" w:rsidRPr="00F3327D" w:rsidRDefault="00F3327D" w:rsidP="00F3327D">
      <w:pPr>
        <w:numPr>
          <w:ilvl w:val="0"/>
          <w:numId w:val="26"/>
        </w:numPr>
        <w:spacing w:after="0" w:line="240" w:lineRule="auto"/>
        <w:rPr>
          <w:rFonts w:cstheme="minorHAnsi"/>
          <w:color w:val="000000" w:themeColor="text1"/>
        </w:rPr>
      </w:pPr>
      <w:r w:rsidRPr="00F3327D">
        <w:rPr>
          <w:rFonts w:cstheme="minorHAnsi"/>
          <w:color w:val="000000" w:themeColor="text1"/>
        </w:rPr>
        <w:t>Patients who receive TYSABRI for a short exposure (1 to 2 infusions) followed by an extended period without treatment are at higher risk of developing anti-natalizumab antibodies and/or hypersensitivity reactions on re-exposure, compared to patients who received regularly scheduled treatment</w:t>
      </w:r>
    </w:p>
    <w:p w14:paraId="31D959AD" w14:textId="23DB4941" w:rsidR="00F3327D" w:rsidRPr="00F3327D" w:rsidRDefault="00F3327D" w:rsidP="00F3327D">
      <w:pPr>
        <w:spacing w:after="0" w:line="240" w:lineRule="auto"/>
        <w:rPr>
          <w:rFonts w:cstheme="minorHAnsi"/>
          <w:b/>
          <w:bCs/>
          <w:color w:val="000000" w:themeColor="text1"/>
        </w:rPr>
      </w:pPr>
      <w:r w:rsidRPr="00F3327D">
        <w:rPr>
          <w:rFonts w:cstheme="minorHAnsi"/>
          <w:b/>
          <w:bCs/>
          <w:color w:val="000000" w:themeColor="text1"/>
        </w:rPr>
        <w:t>Immunosuppression/Infections</w:t>
      </w:r>
    </w:p>
    <w:p w14:paraId="7A521F21" w14:textId="622C8125" w:rsidR="00F3327D" w:rsidRPr="00F3327D" w:rsidRDefault="00F3327D" w:rsidP="00F3327D">
      <w:pPr>
        <w:numPr>
          <w:ilvl w:val="0"/>
          <w:numId w:val="27"/>
        </w:numPr>
        <w:spacing w:after="0" w:line="240" w:lineRule="auto"/>
        <w:rPr>
          <w:rFonts w:cstheme="minorHAnsi"/>
          <w:color w:val="000000" w:themeColor="text1"/>
        </w:rPr>
      </w:pPr>
      <w:r w:rsidRPr="00F3327D">
        <w:rPr>
          <w:rFonts w:cstheme="minorHAnsi"/>
          <w:color w:val="000000" w:themeColor="text1"/>
        </w:rPr>
        <w:t>The immune system effects of TYSABRI may increase the risk for infections</w:t>
      </w:r>
    </w:p>
    <w:p w14:paraId="3B813AA9" w14:textId="48FEB132" w:rsidR="00F3327D" w:rsidRPr="00F3327D" w:rsidRDefault="00F3327D" w:rsidP="00F3327D">
      <w:pPr>
        <w:numPr>
          <w:ilvl w:val="0"/>
          <w:numId w:val="27"/>
        </w:numPr>
        <w:spacing w:after="0" w:line="240" w:lineRule="auto"/>
        <w:rPr>
          <w:rFonts w:cstheme="minorHAnsi"/>
          <w:color w:val="000000" w:themeColor="text1"/>
        </w:rPr>
      </w:pPr>
      <w:r w:rsidRPr="00F3327D">
        <w:rPr>
          <w:rFonts w:cstheme="minorHAnsi"/>
          <w:color w:val="000000" w:themeColor="text1"/>
        </w:rPr>
        <w:t>In Study MS1, certain types of infections—including pneumonias and urinary tract infections (including serious cases), gastroenteritis, vaginal infections, tooth infections, tonsillitis, and herpes infections—occurred more often in TYSABRI-treated patients than in placebo-treated patients. One opportunistic infection, a cryptosporidial gastroenteritis with a prolonged course, was observed in a patient who received TYSABRI in Study MS1</w:t>
      </w:r>
    </w:p>
    <w:p w14:paraId="67B44108" w14:textId="207A5AE5" w:rsidR="00F3327D" w:rsidRPr="00F3327D" w:rsidRDefault="00F3327D" w:rsidP="00F3327D">
      <w:pPr>
        <w:numPr>
          <w:ilvl w:val="0"/>
          <w:numId w:val="27"/>
        </w:numPr>
        <w:spacing w:after="0" w:line="240" w:lineRule="auto"/>
        <w:rPr>
          <w:rFonts w:cstheme="minorHAnsi"/>
          <w:color w:val="000000" w:themeColor="text1"/>
        </w:rPr>
      </w:pPr>
      <w:r w:rsidRPr="00F3327D">
        <w:rPr>
          <w:rFonts w:cstheme="minorHAnsi"/>
          <w:color w:val="000000" w:themeColor="text1"/>
        </w:rPr>
        <w:t>In Studies MS1 and MS2, an increase in infections was seen in patients concurrently receiving short courses of corticosteroids. However, the increase in infections in TYSABRI-treated patients who received steroids was similar to the increase in placebo-treated patients who received steroids</w:t>
      </w:r>
    </w:p>
    <w:p w14:paraId="092FAF5E" w14:textId="77777777" w:rsidR="00F3327D" w:rsidRPr="00F3327D" w:rsidRDefault="00F3327D" w:rsidP="00F3327D">
      <w:pPr>
        <w:numPr>
          <w:ilvl w:val="0"/>
          <w:numId w:val="27"/>
        </w:numPr>
        <w:spacing w:after="0" w:line="240" w:lineRule="auto"/>
        <w:rPr>
          <w:rFonts w:cstheme="minorHAnsi"/>
          <w:color w:val="000000" w:themeColor="text1"/>
        </w:rPr>
      </w:pPr>
      <w:r w:rsidRPr="00F3327D">
        <w:rPr>
          <w:rFonts w:cstheme="minorHAnsi"/>
          <w:color w:val="000000" w:themeColor="text1"/>
        </w:rPr>
        <w:t>In a long-term safety study of patients, opportunistic infections (pulmonary mycobacterium avium intracellulare, aspergilloma, cryptococcal fungemia and meningitis, and Candida pneumonia) have been observed in &lt;1% of TYSABRI-treated patients</w:t>
      </w:r>
    </w:p>
    <w:p w14:paraId="05676C5D" w14:textId="77777777" w:rsidR="00F3327D" w:rsidRPr="00F3327D" w:rsidRDefault="00F3327D" w:rsidP="00F3327D">
      <w:pPr>
        <w:numPr>
          <w:ilvl w:val="0"/>
          <w:numId w:val="27"/>
        </w:numPr>
        <w:spacing w:after="0" w:line="240" w:lineRule="auto"/>
        <w:rPr>
          <w:rFonts w:cstheme="minorHAnsi"/>
          <w:color w:val="000000" w:themeColor="text1"/>
        </w:rPr>
      </w:pPr>
      <w:r w:rsidRPr="00F3327D">
        <w:rPr>
          <w:rFonts w:cstheme="minorHAnsi"/>
          <w:color w:val="000000" w:themeColor="text1"/>
        </w:rPr>
        <w:t>Concurrent use of antineoplastic, immunosuppressant, or immunomodulating agents may further increase the risk of infections over the risk observed with use of TYSABRI alone</w:t>
      </w:r>
    </w:p>
    <w:p w14:paraId="6BB4DCA3" w14:textId="10FDBC54" w:rsidR="00F3327D" w:rsidRPr="00F3327D" w:rsidRDefault="00F3327D" w:rsidP="00F3327D">
      <w:pPr>
        <w:numPr>
          <w:ilvl w:val="0"/>
          <w:numId w:val="27"/>
        </w:numPr>
        <w:spacing w:after="0" w:line="240" w:lineRule="auto"/>
        <w:rPr>
          <w:rFonts w:cstheme="minorHAnsi"/>
          <w:color w:val="000000" w:themeColor="text1"/>
        </w:rPr>
      </w:pPr>
      <w:r w:rsidRPr="00F3327D">
        <w:rPr>
          <w:rFonts w:cstheme="minorHAnsi"/>
          <w:color w:val="000000" w:themeColor="text1"/>
        </w:rPr>
        <w:t>In Studies MS1 and MS2, the rate of any type of infection was approximately 1.5 per patient-year in both TYSABRI-treated patients and placebo-treated patients</w:t>
      </w:r>
    </w:p>
    <w:p w14:paraId="1481438B" w14:textId="77777777" w:rsidR="00F3327D" w:rsidRPr="00F3327D" w:rsidRDefault="00F3327D" w:rsidP="00F3327D">
      <w:pPr>
        <w:numPr>
          <w:ilvl w:val="0"/>
          <w:numId w:val="27"/>
        </w:numPr>
        <w:spacing w:after="0" w:line="240" w:lineRule="auto"/>
        <w:rPr>
          <w:rFonts w:cstheme="minorHAnsi"/>
          <w:color w:val="000000" w:themeColor="text1"/>
        </w:rPr>
      </w:pPr>
      <w:r w:rsidRPr="00F3327D">
        <w:rPr>
          <w:rFonts w:cstheme="minorHAnsi"/>
          <w:color w:val="000000" w:themeColor="text1"/>
        </w:rPr>
        <w:t>In Study MS1, the incidence of serious infections was approximately 3% in TYSABRI-treated patients and in placebo-treated patients. Most patients did not interrupt treatment with TYSABRI during infections</w:t>
      </w:r>
    </w:p>
    <w:p w14:paraId="73EED8AE" w14:textId="77777777" w:rsidR="00F3327D" w:rsidRPr="00F3327D" w:rsidRDefault="00F3327D" w:rsidP="00F3327D">
      <w:pPr>
        <w:spacing w:after="0" w:line="240" w:lineRule="auto"/>
        <w:rPr>
          <w:rFonts w:cstheme="minorHAnsi"/>
          <w:b/>
          <w:bCs/>
          <w:color w:val="000000" w:themeColor="text1"/>
        </w:rPr>
      </w:pPr>
      <w:r w:rsidRPr="00F3327D">
        <w:rPr>
          <w:rFonts w:cstheme="minorHAnsi"/>
          <w:b/>
          <w:bCs/>
          <w:color w:val="000000" w:themeColor="text1"/>
        </w:rPr>
        <w:t>Laboratory Test Abnormalities</w:t>
      </w:r>
    </w:p>
    <w:p w14:paraId="2CFB8160" w14:textId="712E9607" w:rsidR="00F3327D" w:rsidRPr="00F3327D" w:rsidRDefault="00F3327D" w:rsidP="00F3327D">
      <w:pPr>
        <w:numPr>
          <w:ilvl w:val="0"/>
          <w:numId w:val="28"/>
        </w:numPr>
        <w:spacing w:after="0" w:line="240" w:lineRule="auto"/>
        <w:rPr>
          <w:rFonts w:cstheme="minorHAnsi"/>
          <w:color w:val="000000" w:themeColor="text1"/>
        </w:rPr>
      </w:pPr>
      <w:r w:rsidRPr="00F3327D">
        <w:rPr>
          <w:rFonts w:cstheme="minorHAnsi"/>
          <w:color w:val="000000" w:themeColor="text1"/>
        </w:rPr>
        <w:t>In clinical trials, TYSABRI was observed to induce increases in circulating lymphocytes, monocytes, eosinophils, basophils, and nucleated red blood cells. Observed changes persisted during TYSABRI exposure, but were reversible, returning to baseline levels usually within 16 weeks after the last dose. Elevations of neutrophils were not observed. TYSABRI induces mild decreases in hemoglobin levels (mean decrease of 0.6 g/dL) that are frequently transient</w:t>
      </w:r>
    </w:p>
    <w:p w14:paraId="3A7FB79F" w14:textId="33442C40" w:rsidR="00F3327D" w:rsidRPr="00F3327D" w:rsidRDefault="00F3327D" w:rsidP="00F3327D">
      <w:pPr>
        <w:keepNext/>
        <w:spacing w:after="0" w:line="240" w:lineRule="auto"/>
        <w:rPr>
          <w:rFonts w:cstheme="minorHAnsi"/>
          <w:b/>
          <w:bCs/>
          <w:color w:val="000000" w:themeColor="text1"/>
        </w:rPr>
      </w:pPr>
      <w:r w:rsidRPr="00F3327D">
        <w:rPr>
          <w:rFonts w:cstheme="minorHAnsi"/>
          <w:b/>
          <w:bCs/>
          <w:color w:val="000000" w:themeColor="text1"/>
        </w:rPr>
        <w:t>Thrombocytopenia</w:t>
      </w:r>
    </w:p>
    <w:p w14:paraId="55216085" w14:textId="77777777" w:rsidR="00ED48E3" w:rsidRDefault="00F3327D" w:rsidP="00ED48E3">
      <w:pPr>
        <w:pStyle w:val="ListParagraph"/>
        <w:numPr>
          <w:ilvl w:val="0"/>
          <w:numId w:val="29"/>
        </w:numPr>
        <w:spacing w:after="0" w:line="240" w:lineRule="auto"/>
        <w:rPr>
          <w:rFonts w:cstheme="minorHAnsi"/>
          <w:color w:val="000000" w:themeColor="text1"/>
        </w:rPr>
      </w:pPr>
      <w:r w:rsidRPr="00ED48E3">
        <w:rPr>
          <w:rFonts w:cstheme="minorHAnsi"/>
          <w:color w:val="000000" w:themeColor="text1"/>
        </w:rPr>
        <w:t>Cases of thrombocytopenia, including immune thrombocytopenic purpura (ITP), have been reported with the use of TYSABRI in the postmarketing setting. Symptoms of thrombocytopenia may include easy bruising, abnormal bleeding, and petechiae. Delay in the diagnosis and treatment of thrombocytopenia may lead to serious and life-threatening sequelae. If thrombocytopenia is suspected, TYSABRI should be discontinued</w:t>
      </w:r>
    </w:p>
    <w:p w14:paraId="617D2480" w14:textId="3832E90C" w:rsidR="008B7D33" w:rsidRDefault="00ED48E3" w:rsidP="00ED48E3">
      <w:pPr>
        <w:spacing w:after="0" w:line="240" w:lineRule="auto"/>
        <w:ind w:left="360"/>
        <w:jc w:val="center"/>
      </w:pPr>
      <w:r w:rsidRPr="00ED48E3">
        <w:rPr>
          <w:rFonts w:cstheme="minorHAnsi"/>
          <w:color w:val="000000" w:themeColor="text1"/>
        </w:rPr>
        <w:br/>
      </w:r>
      <w:r>
        <w:t xml:space="preserve">Please see Important Safety Information continued on next page and full </w:t>
      </w:r>
      <w:hyperlink r:id="rId7" w:history="1">
        <w:r w:rsidRPr="00ED48E3">
          <w:rPr>
            <w:rStyle w:val="Hyperlink"/>
            <w:rFonts w:cstheme="minorHAnsi"/>
            <w:b/>
          </w:rPr>
          <w:t>Prescribing Information</w:t>
        </w:r>
      </w:hyperlink>
      <w:r>
        <w:t>.</w:t>
      </w:r>
    </w:p>
    <w:p w14:paraId="25907D2A" w14:textId="34ED3457" w:rsidR="00ED48E3" w:rsidRPr="00ED48E3" w:rsidRDefault="00ED48E3" w:rsidP="00ED48E3">
      <w:pPr>
        <w:spacing w:after="0" w:line="240" w:lineRule="auto"/>
      </w:pPr>
      <w:r>
        <w:rPr>
          <w:rFonts w:cstheme="minorHAnsi"/>
          <w:b/>
          <w:noProof/>
        </w:rPr>
        <w:lastRenderedPageBreak/>
        <mc:AlternateContent>
          <mc:Choice Requires="wps">
            <w:drawing>
              <wp:anchor distT="0" distB="0" distL="114300" distR="114300" simplePos="0" relativeHeight="251665408" behindDoc="1" locked="0" layoutInCell="1" allowOverlap="1" wp14:anchorId="0B64281C" wp14:editId="1223773F">
                <wp:simplePos x="0" y="0"/>
                <wp:positionH relativeFrom="column">
                  <wp:posOffset>-29183</wp:posOffset>
                </wp:positionH>
                <wp:positionV relativeFrom="paragraph">
                  <wp:posOffset>-58366</wp:posOffset>
                </wp:positionV>
                <wp:extent cx="7088505" cy="2947481"/>
                <wp:effectExtent l="0" t="0" r="0" b="0"/>
                <wp:wrapNone/>
                <wp:docPr id="1503085182" name="Rounded Rectangle 1503085182"/>
                <wp:cNvGraphicFramePr/>
                <a:graphic xmlns:a="http://schemas.openxmlformats.org/drawingml/2006/main">
                  <a:graphicData uri="http://schemas.microsoft.com/office/word/2010/wordprocessingShape">
                    <wps:wsp>
                      <wps:cNvSpPr/>
                      <wps:spPr>
                        <a:xfrm>
                          <a:off x="0" y="0"/>
                          <a:ext cx="7088505" cy="2947481"/>
                        </a:xfrm>
                        <a:prstGeom prst="roundRect">
                          <a:avLst>
                            <a:gd name="adj" fmla="val 3851"/>
                          </a:avLst>
                        </a:prstGeom>
                        <a:solidFill>
                          <a:schemeClr val="bg1">
                            <a:lumMod val="65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89318A1" id="Rounded Rectangle 1503085182" o:spid="_x0000_s1026" style="position:absolute;margin-left:-2.3pt;margin-top:-4.6pt;width:558.15pt;height:23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" fillcolor="#a5a5a5 [2092]" stroked="f">
                <v:fill opacity="32896f"/>
              </v:roundrect>
            </w:pict>
          </mc:Fallback>
        </mc:AlternateContent>
      </w:r>
      <w:r w:rsidRPr="00906D94">
        <w:rPr>
          <w:rFonts w:cstheme="minorHAnsi"/>
          <w:b/>
          <w:bCs/>
          <w:color w:val="000000" w:themeColor="text1"/>
        </w:rPr>
        <w:t>Thrombocytopenia</w:t>
      </w:r>
      <w:r>
        <w:rPr>
          <w:rFonts w:cstheme="minorHAnsi"/>
          <w:b/>
          <w:bCs/>
          <w:color w:val="000000" w:themeColor="text1"/>
        </w:rPr>
        <w:t xml:space="preserve"> (cont’d)</w:t>
      </w:r>
    </w:p>
    <w:p w14:paraId="2C245AFF" w14:textId="21E13F80" w:rsidR="00F3327D" w:rsidRPr="00F3327D" w:rsidRDefault="00F3327D" w:rsidP="00F3327D">
      <w:pPr>
        <w:numPr>
          <w:ilvl w:val="0"/>
          <w:numId w:val="29"/>
        </w:numPr>
        <w:spacing w:after="0" w:line="240" w:lineRule="auto"/>
        <w:rPr>
          <w:rFonts w:cstheme="minorHAnsi"/>
          <w:color w:val="000000" w:themeColor="text1"/>
        </w:rPr>
      </w:pPr>
      <w:r w:rsidRPr="00F3327D">
        <w:rPr>
          <w:rFonts w:cstheme="minorHAnsi"/>
          <w:color w:val="000000" w:themeColor="text1"/>
        </w:rPr>
        <w:t>Cases of neonatal thrombocytopenia, at times associated with anemia, have been reported in newborns with </w:t>
      </w:r>
      <w:r w:rsidR="00325708">
        <w:rPr>
          <w:rFonts w:cstheme="minorHAnsi"/>
          <w:color w:val="000000" w:themeColor="text1"/>
        </w:rPr>
        <w:br/>
      </w:r>
      <w:r w:rsidRPr="00F3327D">
        <w:rPr>
          <w:rFonts w:cstheme="minorHAnsi"/>
          <w:i/>
          <w:iCs/>
          <w:color w:val="000000" w:themeColor="text1"/>
        </w:rPr>
        <w:t>in utero</w:t>
      </w:r>
      <w:r w:rsidRPr="00F3327D">
        <w:rPr>
          <w:rFonts w:cstheme="minorHAnsi"/>
          <w:color w:val="000000" w:themeColor="text1"/>
        </w:rPr>
        <w:t> exposure to TYSABRI. A CBC should be obtained in neonates with </w:t>
      </w:r>
      <w:r w:rsidRPr="00F3327D">
        <w:rPr>
          <w:rFonts w:cstheme="minorHAnsi"/>
          <w:i/>
          <w:iCs/>
          <w:color w:val="000000" w:themeColor="text1"/>
        </w:rPr>
        <w:t>in utero</w:t>
      </w:r>
      <w:r w:rsidRPr="00F3327D">
        <w:rPr>
          <w:rFonts w:cstheme="minorHAnsi"/>
          <w:color w:val="000000" w:themeColor="text1"/>
        </w:rPr>
        <w:t> exposure to TYSABRI</w:t>
      </w:r>
    </w:p>
    <w:p w14:paraId="334573CF" w14:textId="77777777" w:rsidR="00F3327D" w:rsidRPr="00F3327D" w:rsidRDefault="00F3327D" w:rsidP="00F3327D">
      <w:pPr>
        <w:spacing w:after="0" w:line="240" w:lineRule="auto"/>
        <w:rPr>
          <w:rFonts w:cstheme="minorHAnsi"/>
          <w:b/>
          <w:bCs/>
          <w:color w:val="000000" w:themeColor="text1"/>
        </w:rPr>
      </w:pPr>
      <w:r w:rsidRPr="00F3327D">
        <w:rPr>
          <w:rFonts w:cstheme="minorHAnsi"/>
          <w:b/>
          <w:bCs/>
          <w:color w:val="000000" w:themeColor="text1"/>
        </w:rPr>
        <w:t>Adverse Reactions</w:t>
      </w:r>
    </w:p>
    <w:p w14:paraId="0A788F90" w14:textId="594DDB27" w:rsidR="00F3327D" w:rsidRPr="00F3327D" w:rsidRDefault="00F3327D" w:rsidP="00F3327D">
      <w:pPr>
        <w:numPr>
          <w:ilvl w:val="0"/>
          <w:numId w:val="30"/>
        </w:numPr>
        <w:spacing w:after="0" w:line="240" w:lineRule="auto"/>
        <w:rPr>
          <w:rFonts w:cstheme="minorHAnsi"/>
          <w:color w:val="000000" w:themeColor="text1"/>
        </w:rPr>
      </w:pPr>
      <w:r w:rsidRPr="00F3327D">
        <w:rPr>
          <w:rFonts w:cstheme="minorHAnsi"/>
          <w:color w:val="000000" w:themeColor="text1"/>
        </w:rPr>
        <w:t xml:space="preserve">The most common adverse reactions reported at an incidence of ≥10% with TYSABRI and ≥2% difference with placebo were headache (38% vs 33%), fatigue (27% vs 21%), infusion reactions (24% vs 18%), urinary tract infections (21% vs 17%), arthralgia (19% vs 14%), depression (19% vs 16%), pain in extremity (16% vs 14%), </w:t>
      </w:r>
      <w:r w:rsidR="00325708">
        <w:rPr>
          <w:rFonts w:cstheme="minorHAnsi"/>
          <w:color w:val="000000" w:themeColor="text1"/>
        </w:rPr>
        <w:br/>
      </w:r>
      <w:r w:rsidRPr="00F3327D">
        <w:rPr>
          <w:rFonts w:cstheme="minorHAnsi"/>
          <w:color w:val="000000" w:themeColor="text1"/>
        </w:rPr>
        <w:t>rash (12% vs 9%), gastroenteritis (11% vs 9%), and vaginitis (10% vs 6%)</w:t>
      </w:r>
    </w:p>
    <w:p w14:paraId="4E28461A" w14:textId="77777777" w:rsidR="00F3327D" w:rsidRPr="00F3327D" w:rsidRDefault="00F3327D" w:rsidP="00F3327D">
      <w:pPr>
        <w:numPr>
          <w:ilvl w:val="0"/>
          <w:numId w:val="30"/>
        </w:numPr>
        <w:spacing w:after="0" w:line="240" w:lineRule="auto"/>
        <w:rPr>
          <w:rFonts w:cstheme="minorHAnsi"/>
          <w:color w:val="000000" w:themeColor="text1"/>
        </w:rPr>
      </w:pPr>
      <w:r w:rsidRPr="00F3327D">
        <w:rPr>
          <w:rFonts w:cstheme="minorHAnsi"/>
          <w:color w:val="000000" w:themeColor="text1"/>
        </w:rPr>
        <w:t>The most frequently reported serious adverse reactions in Study MS1 were infections (3.2% vs 2.6% placebo), including urinary tract infection (0.8% vs 0.3%) and pneumonia (0.6% vs 0%), acute hypersensitivity reactions (1.1% vs 0.3%, including anaphylaxis/anaphylactoid reaction [0.8% vs 0%]), depression (1.0% vs 1.0%, including suicidal ideation or attempt [0.6% vs 0.3%]), and cholelithiasis (1.0% vs 0.3%)</w:t>
      </w:r>
    </w:p>
    <w:p w14:paraId="7A163586" w14:textId="77777777" w:rsidR="00F3327D" w:rsidRPr="00F3327D" w:rsidRDefault="00F3327D" w:rsidP="00F3327D">
      <w:pPr>
        <w:numPr>
          <w:ilvl w:val="0"/>
          <w:numId w:val="30"/>
        </w:numPr>
        <w:spacing w:after="0" w:line="240" w:lineRule="auto"/>
        <w:rPr>
          <w:rFonts w:cstheme="minorHAnsi"/>
          <w:color w:val="000000" w:themeColor="text1"/>
        </w:rPr>
      </w:pPr>
      <w:r w:rsidRPr="00F3327D">
        <w:rPr>
          <w:rFonts w:cstheme="minorHAnsi"/>
          <w:color w:val="000000" w:themeColor="text1"/>
        </w:rPr>
        <w:t>Based on animal data, TYSABRI may cause fetal harm. TYSABRI should be used during pregnancy only if the potential benefit justifies the potential risk to the fetus</w:t>
      </w:r>
    </w:p>
    <w:p w14:paraId="41104CF7" w14:textId="77777777" w:rsidR="00F3327D" w:rsidRPr="00F3327D" w:rsidRDefault="00F3327D" w:rsidP="00F3327D">
      <w:pPr>
        <w:spacing w:after="0" w:line="240" w:lineRule="auto"/>
        <w:ind w:left="720"/>
        <w:rPr>
          <w:rFonts w:cstheme="minorHAnsi"/>
          <w:color w:val="000000" w:themeColor="text1"/>
        </w:rPr>
      </w:pPr>
    </w:p>
    <w:p w14:paraId="15E2B49F" w14:textId="7D596075" w:rsidR="00ED48E3" w:rsidRPr="000B71AF" w:rsidRDefault="00ED48E3" w:rsidP="00982A56">
      <w:pPr>
        <w:spacing w:after="0" w:line="240" w:lineRule="auto"/>
        <w:rPr>
          <w:rFonts w:cstheme="minorHAnsi"/>
          <w:color w:val="000000" w:themeColor="text1"/>
        </w:rPr>
      </w:pPr>
      <w:r w:rsidRPr="00F3327D">
        <w:rPr>
          <w:rFonts w:cstheme="minorHAnsi"/>
          <w:color w:val="000000" w:themeColor="text1"/>
        </w:rPr>
        <w:t>Please see full </w:t>
      </w:r>
      <w:hyperlink r:id="rId8" w:tgtFrame="_blank" w:history="1">
        <w:r w:rsidRPr="003C4C7B">
          <w:rPr>
            <w:rFonts w:cstheme="minorHAnsi"/>
            <w:b/>
            <w:bCs/>
            <w:color w:val="4472C4" w:themeColor="accent1"/>
            <w:u w:val="single"/>
          </w:rPr>
          <w:t>Prescribing Information</w:t>
        </w:r>
      </w:hyperlink>
      <w:r w:rsidRPr="00F3327D">
        <w:rPr>
          <w:rFonts w:cstheme="minorHAnsi"/>
          <w:color w:val="000000" w:themeColor="text1"/>
        </w:rPr>
        <w:t>, including </w:t>
      </w:r>
      <w:r w:rsidRPr="00F3327D">
        <w:rPr>
          <w:rFonts w:cstheme="minorHAnsi"/>
          <w:b/>
          <w:bCs/>
          <w:color w:val="000000" w:themeColor="text1"/>
        </w:rPr>
        <w:t>Boxed Warning.</w:t>
      </w:r>
    </w:p>
    <w:p w14:paraId="35F29C55" w14:textId="77777777" w:rsidR="00F3327D" w:rsidRPr="00F3327D" w:rsidRDefault="00F3327D" w:rsidP="00F3327D">
      <w:pPr>
        <w:spacing w:after="0" w:line="240" w:lineRule="auto"/>
        <w:rPr>
          <w:rFonts w:cstheme="minorHAnsi"/>
        </w:rPr>
      </w:pPr>
    </w:p>
    <w:p w14:paraId="6D579CCA" w14:textId="77777777" w:rsidR="00F3327D" w:rsidRPr="000D212B" w:rsidRDefault="00F3327D" w:rsidP="00F3327D">
      <w:pPr>
        <w:rPr>
          <w:rFonts w:cstheme="minorHAnsi"/>
          <w:color w:val="000000" w:themeColor="text1"/>
        </w:rPr>
      </w:pPr>
    </w:p>
    <w:p w14:paraId="77E0D52A" w14:textId="77777777" w:rsidR="00CC49A7" w:rsidRDefault="00CC49A7" w:rsidP="009A43C9">
      <w:pPr>
        <w:pStyle w:val="Footer"/>
        <w:jc w:val="center"/>
        <w:rPr>
          <w:rFonts w:cstheme="minorHAnsi"/>
          <w:color w:val="000000" w:themeColor="text1"/>
        </w:rPr>
      </w:pPr>
    </w:p>
    <w:p w14:paraId="5302DF88" w14:textId="77777777" w:rsidR="00CC49A7" w:rsidRDefault="00CC49A7" w:rsidP="009A43C9">
      <w:pPr>
        <w:pStyle w:val="Footer"/>
        <w:jc w:val="center"/>
        <w:rPr>
          <w:rFonts w:cstheme="minorHAnsi"/>
          <w:color w:val="000000" w:themeColor="text1"/>
        </w:rPr>
      </w:pPr>
    </w:p>
    <w:p w14:paraId="12CE9D0D" w14:textId="77777777" w:rsidR="00CC49A7" w:rsidRDefault="00CC49A7" w:rsidP="009A43C9">
      <w:pPr>
        <w:pStyle w:val="Footer"/>
        <w:jc w:val="center"/>
        <w:rPr>
          <w:rFonts w:cstheme="minorHAnsi"/>
          <w:color w:val="000000" w:themeColor="text1"/>
        </w:rPr>
      </w:pPr>
    </w:p>
    <w:p w14:paraId="0FA28CE1" w14:textId="77777777" w:rsidR="00CC49A7" w:rsidRDefault="00CC49A7" w:rsidP="009A43C9">
      <w:pPr>
        <w:pStyle w:val="Footer"/>
        <w:jc w:val="center"/>
        <w:rPr>
          <w:rFonts w:cstheme="minorHAnsi"/>
          <w:color w:val="000000" w:themeColor="text1"/>
        </w:rPr>
      </w:pPr>
    </w:p>
    <w:p w14:paraId="1D791C01" w14:textId="77777777" w:rsidR="00CC49A7" w:rsidRDefault="00CC49A7" w:rsidP="009A43C9">
      <w:pPr>
        <w:pStyle w:val="Footer"/>
        <w:jc w:val="center"/>
        <w:rPr>
          <w:rFonts w:cstheme="minorHAnsi"/>
          <w:color w:val="000000" w:themeColor="text1"/>
        </w:rPr>
      </w:pPr>
    </w:p>
    <w:p w14:paraId="4BDBD7BB" w14:textId="77777777" w:rsidR="00CC49A7" w:rsidRDefault="00CC49A7" w:rsidP="009A43C9">
      <w:pPr>
        <w:pStyle w:val="Footer"/>
        <w:jc w:val="center"/>
        <w:rPr>
          <w:rFonts w:cstheme="minorHAnsi"/>
          <w:color w:val="000000" w:themeColor="text1"/>
        </w:rPr>
      </w:pPr>
    </w:p>
    <w:p w14:paraId="4FBF37C0" w14:textId="77777777" w:rsidR="00CC49A7" w:rsidRDefault="00CC49A7" w:rsidP="009A43C9">
      <w:pPr>
        <w:pStyle w:val="Footer"/>
        <w:jc w:val="center"/>
        <w:rPr>
          <w:rFonts w:cstheme="minorHAnsi"/>
          <w:color w:val="000000" w:themeColor="text1"/>
        </w:rPr>
      </w:pPr>
    </w:p>
    <w:p w14:paraId="773214B1" w14:textId="77777777" w:rsidR="00CC49A7" w:rsidRDefault="00CC49A7" w:rsidP="009A43C9">
      <w:pPr>
        <w:pStyle w:val="Footer"/>
        <w:jc w:val="center"/>
        <w:rPr>
          <w:rFonts w:cstheme="minorHAnsi"/>
          <w:color w:val="000000" w:themeColor="text1"/>
        </w:rPr>
      </w:pPr>
    </w:p>
    <w:p w14:paraId="4E1CEF26" w14:textId="77777777" w:rsidR="00CC49A7" w:rsidRDefault="00CC49A7" w:rsidP="009A43C9">
      <w:pPr>
        <w:pStyle w:val="Footer"/>
        <w:jc w:val="center"/>
        <w:rPr>
          <w:rFonts w:cstheme="minorHAnsi"/>
          <w:color w:val="000000" w:themeColor="text1"/>
        </w:rPr>
      </w:pPr>
    </w:p>
    <w:p w14:paraId="34BA0596" w14:textId="77777777" w:rsidR="00CC49A7" w:rsidRDefault="00CC49A7" w:rsidP="009A43C9">
      <w:pPr>
        <w:pStyle w:val="Footer"/>
        <w:jc w:val="center"/>
        <w:rPr>
          <w:rFonts w:cstheme="minorHAnsi"/>
          <w:color w:val="000000" w:themeColor="text1"/>
        </w:rPr>
      </w:pPr>
    </w:p>
    <w:p w14:paraId="2C231FAE" w14:textId="77777777" w:rsidR="00CC49A7" w:rsidRDefault="00CC49A7" w:rsidP="009A43C9">
      <w:pPr>
        <w:pStyle w:val="Footer"/>
        <w:jc w:val="center"/>
        <w:rPr>
          <w:rFonts w:cstheme="minorHAnsi"/>
          <w:color w:val="000000" w:themeColor="text1"/>
        </w:rPr>
      </w:pPr>
    </w:p>
    <w:p w14:paraId="76640E0E" w14:textId="77777777" w:rsidR="00CC49A7" w:rsidRDefault="00CC49A7" w:rsidP="009A43C9">
      <w:pPr>
        <w:pStyle w:val="Footer"/>
        <w:jc w:val="center"/>
        <w:rPr>
          <w:rFonts w:cstheme="minorHAnsi"/>
          <w:color w:val="000000" w:themeColor="text1"/>
        </w:rPr>
      </w:pPr>
    </w:p>
    <w:p w14:paraId="7099ADF0" w14:textId="77777777" w:rsidR="00CC49A7" w:rsidRDefault="00CC49A7" w:rsidP="009A43C9">
      <w:pPr>
        <w:pStyle w:val="Footer"/>
        <w:jc w:val="center"/>
        <w:rPr>
          <w:rFonts w:cstheme="minorHAnsi"/>
          <w:color w:val="000000" w:themeColor="text1"/>
        </w:rPr>
      </w:pPr>
    </w:p>
    <w:p w14:paraId="2E117F2F" w14:textId="77777777" w:rsidR="00CC49A7" w:rsidRDefault="00CC49A7" w:rsidP="009A43C9">
      <w:pPr>
        <w:pStyle w:val="Footer"/>
        <w:jc w:val="center"/>
        <w:rPr>
          <w:rFonts w:cstheme="minorHAnsi"/>
          <w:color w:val="000000" w:themeColor="text1"/>
        </w:rPr>
      </w:pPr>
    </w:p>
    <w:p w14:paraId="3ADBA389" w14:textId="77777777" w:rsidR="00CC49A7" w:rsidRDefault="00CC49A7" w:rsidP="009A43C9">
      <w:pPr>
        <w:pStyle w:val="Footer"/>
        <w:jc w:val="center"/>
        <w:rPr>
          <w:rFonts w:cstheme="minorHAnsi"/>
          <w:color w:val="000000" w:themeColor="text1"/>
        </w:rPr>
      </w:pPr>
    </w:p>
    <w:p w14:paraId="664920C6" w14:textId="77777777" w:rsidR="00CC49A7" w:rsidRDefault="00CC49A7" w:rsidP="009A43C9">
      <w:pPr>
        <w:pStyle w:val="Footer"/>
        <w:jc w:val="center"/>
        <w:rPr>
          <w:rFonts w:cstheme="minorHAnsi"/>
          <w:color w:val="000000" w:themeColor="text1"/>
        </w:rPr>
      </w:pPr>
    </w:p>
    <w:p w14:paraId="759E45A6" w14:textId="77777777" w:rsidR="00CC49A7" w:rsidRDefault="00CC49A7" w:rsidP="009A43C9">
      <w:pPr>
        <w:pStyle w:val="Footer"/>
        <w:jc w:val="center"/>
        <w:rPr>
          <w:rFonts w:cstheme="minorHAnsi"/>
          <w:color w:val="000000" w:themeColor="text1"/>
        </w:rPr>
      </w:pPr>
    </w:p>
    <w:p w14:paraId="436C2494" w14:textId="77777777" w:rsidR="00CC49A7" w:rsidRDefault="00CC49A7" w:rsidP="009A43C9">
      <w:pPr>
        <w:pStyle w:val="Footer"/>
        <w:jc w:val="center"/>
        <w:rPr>
          <w:rFonts w:cstheme="minorHAnsi"/>
          <w:color w:val="000000" w:themeColor="text1"/>
        </w:rPr>
      </w:pPr>
    </w:p>
    <w:p w14:paraId="4C443C67" w14:textId="77777777" w:rsidR="00CC49A7" w:rsidRDefault="00CC49A7" w:rsidP="009A43C9">
      <w:pPr>
        <w:pStyle w:val="Footer"/>
        <w:jc w:val="center"/>
        <w:rPr>
          <w:rFonts w:cstheme="minorHAnsi"/>
          <w:color w:val="000000" w:themeColor="text1"/>
        </w:rPr>
      </w:pPr>
    </w:p>
    <w:p w14:paraId="2E0C6B66" w14:textId="77777777" w:rsidR="00CC49A7" w:rsidRDefault="00CC49A7" w:rsidP="009A43C9">
      <w:pPr>
        <w:pStyle w:val="Footer"/>
        <w:jc w:val="center"/>
        <w:rPr>
          <w:rFonts w:cstheme="minorHAnsi"/>
          <w:color w:val="000000" w:themeColor="text1"/>
        </w:rPr>
      </w:pPr>
    </w:p>
    <w:p w14:paraId="47275767" w14:textId="77777777" w:rsidR="00CC49A7" w:rsidRDefault="00CC49A7" w:rsidP="009A43C9">
      <w:pPr>
        <w:pStyle w:val="Footer"/>
        <w:jc w:val="center"/>
        <w:rPr>
          <w:rFonts w:cstheme="minorHAnsi"/>
          <w:color w:val="000000" w:themeColor="text1"/>
        </w:rPr>
      </w:pPr>
    </w:p>
    <w:p w14:paraId="0D6B61A7" w14:textId="77777777" w:rsidR="00CC49A7" w:rsidRDefault="00CC49A7" w:rsidP="009A43C9">
      <w:pPr>
        <w:pStyle w:val="Footer"/>
        <w:jc w:val="center"/>
        <w:rPr>
          <w:rFonts w:cstheme="minorHAnsi"/>
          <w:color w:val="000000" w:themeColor="text1"/>
        </w:rPr>
      </w:pPr>
    </w:p>
    <w:p w14:paraId="41D60686" w14:textId="77777777" w:rsidR="00CC49A7" w:rsidRDefault="00CC49A7" w:rsidP="009A43C9">
      <w:pPr>
        <w:pStyle w:val="Footer"/>
        <w:jc w:val="center"/>
        <w:rPr>
          <w:rFonts w:cstheme="minorHAnsi"/>
          <w:color w:val="000000" w:themeColor="text1"/>
        </w:rPr>
      </w:pPr>
    </w:p>
    <w:p w14:paraId="091752A5" w14:textId="77777777" w:rsidR="00CC49A7" w:rsidRDefault="00CC49A7" w:rsidP="009A43C9">
      <w:pPr>
        <w:pStyle w:val="Footer"/>
        <w:jc w:val="center"/>
        <w:rPr>
          <w:rFonts w:cstheme="minorHAnsi"/>
          <w:color w:val="000000" w:themeColor="text1"/>
        </w:rPr>
      </w:pPr>
    </w:p>
    <w:p w14:paraId="0E5B19F2" w14:textId="77777777" w:rsidR="00CC49A7" w:rsidRDefault="00CC49A7" w:rsidP="009A43C9">
      <w:pPr>
        <w:pStyle w:val="Footer"/>
        <w:jc w:val="center"/>
        <w:rPr>
          <w:rFonts w:cstheme="minorHAnsi"/>
          <w:color w:val="000000" w:themeColor="text1"/>
        </w:rPr>
      </w:pPr>
    </w:p>
    <w:p w14:paraId="68CC4E5F" w14:textId="77777777" w:rsidR="00ED48E3" w:rsidRDefault="00ED48E3" w:rsidP="00ED48E3">
      <w:pPr>
        <w:rPr>
          <w:rFonts w:cstheme="minorHAnsi"/>
          <w:color w:val="7F7F7F" w:themeColor="text1" w:themeTint="80"/>
          <w:sz w:val="18"/>
          <w:szCs w:val="18"/>
          <w:shd w:val="clear" w:color="auto" w:fill="FFFFFF"/>
        </w:rPr>
      </w:pPr>
    </w:p>
    <w:p w14:paraId="4C7904BC" w14:textId="77777777" w:rsidR="00ED48E3" w:rsidRDefault="00ED48E3" w:rsidP="00ED48E3">
      <w:pPr>
        <w:rPr>
          <w:rFonts w:cstheme="minorHAnsi"/>
          <w:color w:val="7F7F7F" w:themeColor="text1" w:themeTint="80"/>
          <w:sz w:val="18"/>
          <w:szCs w:val="18"/>
          <w:shd w:val="clear" w:color="auto" w:fill="FFFFFF"/>
        </w:rPr>
      </w:pPr>
    </w:p>
    <w:p w14:paraId="4B641777" w14:textId="59B76FB9" w:rsidR="00F2791C" w:rsidRPr="00ED48E3" w:rsidRDefault="00ED48E3" w:rsidP="00ED48E3">
      <w:r w:rsidRPr="008F0559">
        <w:rPr>
          <w:rFonts w:cstheme="minorHAnsi"/>
          <w:color w:val="7F7F7F" w:themeColor="text1" w:themeTint="80"/>
          <w:sz w:val="18"/>
          <w:szCs w:val="18"/>
          <w:shd w:val="clear" w:color="auto" w:fill="FFFFFF"/>
        </w:rPr>
        <w:t>This sample letter is for informational purposes only, providing an example of language that may be required or helpful when responding to a request from a patient’s health plan. Use of this information does not constitute medical or legal advice and does not guarantee reimbursement for coverage. It is not intended to be a substitute for, or an influence on, the independent clinical decision of the prescribing healthcare professional.</w:t>
      </w:r>
    </w:p>
    <w:p w14:paraId="7BC37082" w14:textId="77777777" w:rsidR="00ED48E3" w:rsidRDefault="00ED48E3" w:rsidP="00ED48E3">
      <w:pPr>
        <w:pStyle w:val="Footer"/>
        <w:rPr>
          <w:rFonts w:cstheme="minorHAnsi"/>
          <w:color w:val="000000" w:themeColor="text1"/>
        </w:rPr>
      </w:pPr>
    </w:p>
    <w:p w14:paraId="7071BC50" w14:textId="330FAF43" w:rsidR="00CC49A7" w:rsidRDefault="00E60AD8" w:rsidP="00CC49A7">
      <w:pPr>
        <w:pStyle w:val="Footer"/>
        <w:jc w:val="center"/>
        <w:rPr>
          <w:rFonts w:cstheme="minorHAnsi"/>
          <w:color w:val="000000" w:themeColor="text1"/>
        </w:rPr>
      </w:pPr>
      <w:r w:rsidRPr="00C34583">
        <w:rPr>
          <w:rFonts w:cstheme="minorHAnsi"/>
          <w:color w:val="000000" w:themeColor="text1"/>
        </w:rPr>
        <w:t>©202</w:t>
      </w:r>
      <w:r w:rsidR="003838D1">
        <w:rPr>
          <w:rFonts w:cstheme="minorHAnsi"/>
          <w:color w:val="000000" w:themeColor="text1"/>
        </w:rPr>
        <w:t>3</w:t>
      </w:r>
      <w:r w:rsidRPr="00C34583">
        <w:rPr>
          <w:rFonts w:cstheme="minorHAnsi"/>
          <w:color w:val="000000" w:themeColor="text1"/>
        </w:rPr>
        <w:t xml:space="preserve"> Biogen. </w:t>
      </w:r>
      <w:r w:rsidR="00621089">
        <w:rPr>
          <w:rFonts w:cstheme="minorHAnsi"/>
          <w:color w:val="000000" w:themeColor="text1"/>
        </w:rPr>
        <w:t xml:space="preserve"> </w:t>
      </w:r>
      <w:r w:rsidR="009A43C9" w:rsidRPr="00C34583">
        <w:rPr>
          <w:rFonts w:cstheme="minorHAnsi"/>
          <w:color w:val="000000" w:themeColor="text1"/>
        </w:rPr>
        <w:t xml:space="preserve"> </w:t>
      </w:r>
      <w:r w:rsidRPr="00C34583">
        <w:rPr>
          <w:color w:val="000000" w:themeColor="text1"/>
        </w:rPr>
        <w:t xml:space="preserve">All rights reserved. </w:t>
      </w:r>
      <w:r w:rsidR="00621089">
        <w:rPr>
          <w:color w:val="000000" w:themeColor="text1"/>
        </w:rPr>
        <w:t xml:space="preserve"> </w:t>
      </w:r>
      <w:r w:rsidRPr="00C34583">
        <w:rPr>
          <w:color w:val="000000" w:themeColor="text1"/>
        </w:rPr>
        <w:t xml:space="preserve"> 0</w:t>
      </w:r>
      <w:r w:rsidR="00A879FA">
        <w:rPr>
          <w:color w:val="000000" w:themeColor="text1"/>
        </w:rPr>
        <w:t>5</w:t>
      </w:r>
      <w:r w:rsidRPr="00C34583">
        <w:rPr>
          <w:color w:val="000000" w:themeColor="text1"/>
        </w:rPr>
        <w:t>/2</w:t>
      </w:r>
      <w:r w:rsidR="003838D1">
        <w:rPr>
          <w:color w:val="000000" w:themeColor="text1"/>
        </w:rPr>
        <w:t>3</w:t>
      </w:r>
      <w:r w:rsidRPr="00C34583">
        <w:rPr>
          <w:color w:val="000000" w:themeColor="text1"/>
        </w:rPr>
        <w:t xml:space="preserve"> </w:t>
      </w:r>
      <w:r w:rsidR="00621089">
        <w:rPr>
          <w:color w:val="000000" w:themeColor="text1"/>
        </w:rPr>
        <w:t xml:space="preserve"> </w:t>
      </w:r>
      <w:r w:rsidRPr="00C34583">
        <w:rPr>
          <w:color w:val="000000" w:themeColor="text1"/>
        </w:rPr>
        <w:t xml:space="preserve"> </w:t>
      </w:r>
      <w:r w:rsidR="00A879FA">
        <w:rPr>
          <w:rFonts w:cstheme="minorHAnsi"/>
          <w:color w:val="000000" w:themeColor="text1"/>
        </w:rPr>
        <w:t>T</w:t>
      </w:r>
      <w:r w:rsidR="007F62A6">
        <w:rPr>
          <w:rFonts w:cstheme="minorHAnsi"/>
          <w:color w:val="000000" w:themeColor="text1"/>
        </w:rPr>
        <w:t>Y</w:t>
      </w:r>
      <w:r w:rsidR="00A879FA">
        <w:rPr>
          <w:rFonts w:cstheme="minorHAnsi"/>
          <w:color w:val="000000" w:themeColor="text1"/>
        </w:rPr>
        <w:t>S</w:t>
      </w:r>
      <w:r w:rsidRPr="00C34583">
        <w:rPr>
          <w:rFonts w:cstheme="minorHAnsi"/>
          <w:color w:val="000000" w:themeColor="text1"/>
        </w:rPr>
        <w:t>-US-</w:t>
      </w:r>
      <w:r w:rsidR="008B7D33">
        <w:rPr>
          <w:rFonts w:cstheme="minorHAnsi"/>
          <w:color w:val="000000" w:themeColor="text1"/>
        </w:rPr>
        <w:t>4342</w:t>
      </w:r>
    </w:p>
    <w:p w14:paraId="0BD7821E" w14:textId="77777777" w:rsidR="00797E6D" w:rsidRPr="0006754A" w:rsidRDefault="00797E6D" w:rsidP="00797E6D">
      <w:pPr>
        <w:rPr>
          <w:rFonts w:cstheme="minorHAnsi"/>
        </w:rPr>
      </w:pPr>
      <w:r w:rsidRPr="0006754A">
        <w:rPr>
          <w:rFonts w:cstheme="minorHAnsi"/>
          <w:highlight w:val="lightGray"/>
        </w:rPr>
        <w:lastRenderedPageBreak/>
        <w:fldChar w:fldCharType="begin">
          <w:ffData>
            <w:name w:val=""/>
            <w:enabled/>
            <w:calcOnExit w:val="0"/>
            <w:textInput>
              <w:default w:val="[Insert Date]"/>
            </w:textInput>
          </w:ffData>
        </w:fldChar>
      </w:r>
      <w:r w:rsidRPr="0006754A">
        <w:rPr>
          <w:rFonts w:cstheme="minorHAnsi"/>
          <w:highlight w:val="lightGray"/>
        </w:rPr>
        <w:instrText xml:space="preserve"> FORMTEXT </w:instrText>
      </w:r>
      <w:r w:rsidRPr="0006754A">
        <w:rPr>
          <w:rFonts w:cstheme="minorHAnsi"/>
          <w:highlight w:val="lightGray"/>
        </w:rPr>
      </w:r>
      <w:r w:rsidRPr="0006754A">
        <w:rPr>
          <w:rFonts w:cstheme="minorHAnsi"/>
          <w:highlight w:val="lightGray"/>
        </w:rPr>
        <w:fldChar w:fldCharType="separate"/>
      </w:r>
      <w:r w:rsidRPr="0006754A">
        <w:rPr>
          <w:rFonts w:cstheme="minorHAnsi"/>
          <w:noProof/>
          <w:highlight w:val="lightGray"/>
        </w:rPr>
        <w:t>[Insert Date]</w:t>
      </w:r>
      <w:r w:rsidRPr="0006754A">
        <w:rPr>
          <w:rFonts w:cstheme="minorHAnsi"/>
          <w:highlight w:val="lightGray"/>
        </w:rPr>
        <w:fldChar w:fldCharType="end"/>
      </w:r>
    </w:p>
    <w:p w14:paraId="65A765B4" w14:textId="465E5569" w:rsidR="00797E6D" w:rsidRDefault="00797E6D" w:rsidP="00797E6D">
      <w:pPr>
        <w:rPr>
          <w:rFonts w:cstheme="minorHAnsi"/>
        </w:rPr>
      </w:pPr>
      <w:r w:rsidRPr="00463FC5">
        <w:rPr>
          <w:rFonts w:cstheme="minorHAnsi"/>
        </w:rPr>
        <w:t xml:space="preserve">Request for </w:t>
      </w:r>
      <w:r>
        <w:rPr>
          <w:rFonts w:cstheme="minorHAnsi"/>
        </w:rPr>
        <w:t xml:space="preserve">My Patient to Remain on </w:t>
      </w:r>
      <w:r w:rsidR="00CE4C46">
        <w:rPr>
          <w:rFonts w:cstheme="minorHAnsi"/>
        </w:rPr>
        <w:t>TYSABRI</w:t>
      </w:r>
      <w:r w:rsidRPr="00463FC5">
        <w:rPr>
          <w:rFonts w:cstheme="minorHAnsi"/>
        </w:rPr>
        <w:t>® (</w:t>
      </w:r>
      <w:r w:rsidR="00CE4C46" w:rsidRPr="00F3327D">
        <w:t>natalizumab</w:t>
      </w:r>
      <w:r w:rsidRPr="00463FC5">
        <w:rPr>
          <w:rFonts w:cstheme="minorHAnsi"/>
        </w:rPr>
        <w:t>) for</w:t>
      </w:r>
      <w:r>
        <w:rPr>
          <w:rFonts w:cstheme="minorHAnsi"/>
        </w:rPr>
        <w:t xml:space="preserve"> </w:t>
      </w:r>
      <w:r w:rsidRPr="00463FC5">
        <w:rPr>
          <w:rFonts w:cstheme="minorHAnsi"/>
        </w:rPr>
        <w:t>Relapsing Multiple Sclerosis (RMS)</w:t>
      </w:r>
    </w:p>
    <w:p w14:paraId="61F59C0E" w14:textId="77777777" w:rsidR="00797E6D" w:rsidRPr="0006754A" w:rsidRDefault="00797E6D" w:rsidP="00325708">
      <w:pPr>
        <w:spacing w:after="0" w:line="240" w:lineRule="auto"/>
        <w:contextualSpacing/>
        <w:rPr>
          <w:rFonts w:cstheme="minorHAnsi"/>
        </w:rPr>
      </w:pPr>
      <w:r w:rsidRPr="0006754A">
        <w:rPr>
          <w:rFonts w:cstheme="minorHAnsi"/>
        </w:rPr>
        <w:t xml:space="preserve">RE: </w:t>
      </w:r>
      <w:r w:rsidRPr="0006754A">
        <w:rPr>
          <w:rFonts w:cstheme="minorHAnsi"/>
          <w:highlight w:val="lightGray"/>
        </w:rPr>
        <w:fldChar w:fldCharType="begin">
          <w:ffData>
            <w:name w:val="Text15"/>
            <w:enabled/>
            <w:calcOnExit w:val="0"/>
            <w:textInput>
              <w:default w:val="[Patient Name]"/>
            </w:textInput>
          </w:ffData>
        </w:fldChar>
      </w:r>
      <w:bookmarkStart w:id="0" w:name="Text15"/>
      <w:r w:rsidRPr="0006754A">
        <w:rPr>
          <w:rFonts w:cstheme="minorHAnsi"/>
          <w:highlight w:val="lightGray"/>
        </w:rPr>
        <w:instrText xml:space="preserve"> FORMTEXT </w:instrText>
      </w:r>
      <w:r w:rsidRPr="0006754A">
        <w:rPr>
          <w:rFonts w:cstheme="minorHAnsi"/>
          <w:highlight w:val="lightGray"/>
        </w:rPr>
      </w:r>
      <w:r w:rsidRPr="0006754A">
        <w:rPr>
          <w:rFonts w:cstheme="minorHAnsi"/>
          <w:highlight w:val="lightGray"/>
        </w:rPr>
        <w:fldChar w:fldCharType="separate"/>
      </w:r>
      <w:r w:rsidRPr="0006754A">
        <w:rPr>
          <w:rFonts w:cstheme="minorHAnsi"/>
          <w:noProof/>
          <w:highlight w:val="lightGray"/>
        </w:rPr>
        <w:t>[Patient Name]</w:t>
      </w:r>
      <w:r w:rsidRPr="0006754A">
        <w:rPr>
          <w:rFonts w:cstheme="minorHAnsi"/>
          <w:highlight w:val="lightGray"/>
        </w:rPr>
        <w:fldChar w:fldCharType="end"/>
      </w:r>
      <w:bookmarkEnd w:id="0"/>
    </w:p>
    <w:p w14:paraId="2670B3FB" w14:textId="77777777" w:rsidR="00797E6D" w:rsidRPr="0006754A" w:rsidRDefault="00797E6D" w:rsidP="00325708">
      <w:pPr>
        <w:spacing w:after="0" w:line="240" w:lineRule="auto"/>
        <w:contextualSpacing/>
        <w:rPr>
          <w:rFonts w:cstheme="minorHAnsi"/>
        </w:rPr>
      </w:pPr>
      <w:r w:rsidRPr="0006754A">
        <w:rPr>
          <w:rFonts w:cstheme="minorHAnsi"/>
          <w:highlight w:val="lightGray"/>
        </w:rPr>
        <w:fldChar w:fldCharType="begin">
          <w:ffData>
            <w:name w:val="Text16"/>
            <w:enabled/>
            <w:calcOnExit w:val="0"/>
            <w:textInput>
              <w:default w:val="[Patient Insurance ID Number]"/>
            </w:textInput>
          </w:ffData>
        </w:fldChar>
      </w:r>
      <w:bookmarkStart w:id="1" w:name="Text16"/>
      <w:r w:rsidRPr="0006754A">
        <w:rPr>
          <w:rFonts w:cstheme="minorHAnsi"/>
          <w:highlight w:val="lightGray"/>
        </w:rPr>
        <w:instrText xml:space="preserve"> FORMTEXT </w:instrText>
      </w:r>
      <w:r w:rsidRPr="0006754A">
        <w:rPr>
          <w:rFonts w:cstheme="minorHAnsi"/>
          <w:highlight w:val="lightGray"/>
        </w:rPr>
      </w:r>
      <w:r w:rsidRPr="0006754A">
        <w:rPr>
          <w:rFonts w:cstheme="minorHAnsi"/>
          <w:highlight w:val="lightGray"/>
        </w:rPr>
        <w:fldChar w:fldCharType="separate"/>
      </w:r>
      <w:r w:rsidRPr="0006754A">
        <w:rPr>
          <w:rFonts w:cstheme="minorHAnsi"/>
          <w:noProof/>
          <w:highlight w:val="lightGray"/>
        </w:rPr>
        <w:t>[Patient Insurance ID Number]</w:t>
      </w:r>
      <w:r w:rsidRPr="0006754A">
        <w:rPr>
          <w:rFonts w:cstheme="minorHAnsi"/>
          <w:highlight w:val="lightGray"/>
        </w:rPr>
        <w:fldChar w:fldCharType="end"/>
      </w:r>
      <w:bookmarkEnd w:id="1"/>
    </w:p>
    <w:p w14:paraId="4CB5776E" w14:textId="77777777" w:rsidR="00797E6D" w:rsidRPr="0006754A" w:rsidRDefault="00797E6D" w:rsidP="00325708">
      <w:pPr>
        <w:spacing w:after="0" w:line="240" w:lineRule="auto"/>
        <w:contextualSpacing/>
        <w:rPr>
          <w:rFonts w:cstheme="minorHAnsi"/>
        </w:rPr>
      </w:pPr>
      <w:r w:rsidRPr="0006754A">
        <w:rPr>
          <w:rFonts w:cstheme="minorHAnsi"/>
          <w:highlight w:val="lightGray"/>
        </w:rPr>
        <w:fldChar w:fldCharType="begin">
          <w:ffData>
            <w:name w:val="Text14"/>
            <w:enabled/>
            <w:calcOnExit w:val="0"/>
            <w:textInput>
              <w:default w:val="[Patient Date of Birth]"/>
            </w:textInput>
          </w:ffData>
        </w:fldChar>
      </w:r>
      <w:bookmarkStart w:id="2" w:name="Text14"/>
      <w:r w:rsidRPr="0006754A">
        <w:rPr>
          <w:rFonts w:cstheme="minorHAnsi"/>
          <w:highlight w:val="lightGray"/>
        </w:rPr>
        <w:instrText xml:space="preserve"> FORMTEXT </w:instrText>
      </w:r>
      <w:r w:rsidRPr="0006754A">
        <w:rPr>
          <w:rFonts w:cstheme="minorHAnsi"/>
          <w:highlight w:val="lightGray"/>
        </w:rPr>
      </w:r>
      <w:r w:rsidRPr="0006754A">
        <w:rPr>
          <w:rFonts w:cstheme="minorHAnsi"/>
          <w:highlight w:val="lightGray"/>
        </w:rPr>
        <w:fldChar w:fldCharType="separate"/>
      </w:r>
      <w:r w:rsidRPr="0006754A">
        <w:rPr>
          <w:rFonts w:cstheme="minorHAnsi"/>
          <w:noProof/>
          <w:highlight w:val="lightGray"/>
        </w:rPr>
        <w:t>[Patient Date of Birth]</w:t>
      </w:r>
      <w:r w:rsidRPr="0006754A">
        <w:rPr>
          <w:rFonts w:cstheme="minorHAnsi"/>
          <w:highlight w:val="lightGray"/>
        </w:rPr>
        <w:fldChar w:fldCharType="end"/>
      </w:r>
      <w:bookmarkEnd w:id="2"/>
    </w:p>
    <w:p w14:paraId="68B3893B" w14:textId="77777777" w:rsidR="00797E6D" w:rsidRDefault="00797E6D" w:rsidP="00325708">
      <w:pPr>
        <w:spacing w:after="0" w:line="240" w:lineRule="auto"/>
        <w:contextualSpacing/>
        <w:rPr>
          <w:rFonts w:cstheme="minorHAnsi"/>
        </w:rPr>
      </w:pPr>
      <w:r w:rsidRPr="0006754A">
        <w:rPr>
          <w:rFonts w:cstheme="minorHAnsi"/>
          <w:highlight w:val="lightGray"/>
        </w:rPr>
        <w:t>[Reference number]</w:t>
      </w:r>
    </w:p>
    <w:p w14:paraId="45ADCF4F" w14:textId="77777777" w:rsidR="00325708" w:rsidRPr="0006754A" w:rsidRDefault="00325708" w:rsidP="00325708">
      <w:pPr>
        <w:spacing w:after="0" w:line="240" w:lineRule="auto"/>
        <w:contextualSpacing/>
        <w:rPr>
          <w:rFonts w:cstheme="minorHAnsi"/>
        </w:rPr>
      </w:pPr>
    </w:p>
    <w:p w14:paraId="4AA48735" w14:textId="77777777" w:rsidR="00797E6D" w:rsidRPr="0006754A" w:rsidRDefault="00797E6D" w:rsidP="00797E6D">
      <w:pPr>
        <w:spacing w:line="240" w:lineRule="auto"/>
        <w:rPr>
          <w:rFonts w:cstheme="minorHAnsi"/>
        </w:rPr>
      </w:pPr>
      <w:r w:rsidRPr="0006754A">
        <w:rPr>
          <w:rFonts w:cstheme="minorHAnsi"/>
        </w:rPr>
        <w:t xml:space="preserve">Dear </w:t>
      </w:r>
      <w:r w:rsidRPr="0006754A">
        <w:rPr>
          <w:rFonts w:cstheme="minorHAnsi"/>
          <w:highlight w:val="lightGray"/>
        </w:rPr>
        <w:fldChar w:fldCharType="begin">
          <w:ffData>
            <w:name w:val="Text17"/>
            <w:enabled/>
            <w:calcOnExit w:val="0"/>
            <w:textInput>
              <w:default w:val="[Health Plan Contact Name]"/>
            </w:textInput>
          </w:ffData>
        </w:fldChar>
      </w:r>
      <w:bookmarkStart w:id="3" w:name="Text17"/>
      <w:r w:rsidRPr="0006754A">
        <w:rPr>
          <w:rFonts w:cstheme="minorHAnsi"/>
          <w:highlight w:val="lightGray"/>
        </w:rPr>
        <w:instrText xml:space="preserve"> FORMTEXT </w:instrText>
      </w:r>
      <w:r w:rsidRPr="0006754A">
        <w:rPr>
          <w:rFonts w:cstheme="minorHAnsi"/>
          <w:highlight w:val="lightGray"/>
        </w:rPr>
      </w:r>
      <w:r w:rsidRPr="0006754A">
        <w:rPr>
          <w:rFonts w:cstheme="minorHAnsi"/>
          <w:highlight w:val="lightGray"/>
        </w:rPr>
        <w:fldChar w:fldCharType="separate"/>
      </w:r>
      <w:r w:rsidRPr="0006754A">
        <w:rPr>
          <w:rFonts w:cstheme="minorHAnsi"/>
          <w:noProof/>
          <w:highlight w:val="lightGray"/>
        </w:rPr>
        <w:t>[Health Plan Contact Name]</w:t>
      </w:r>
      <w:r w:rsidRPr="0006754A">
        <w:rPr>
          <w:rFonts w:cstheme="minorHAnsi"/>
          <w:highlight w:val="lightGray"/>
        </w:rPr>
        <w:fldChar w:fldCharType="end"/>
      </w:r>
      <w:bookmarkEnd w:id="3"/>
      <w:r w:rsidRPr="0006754A">
        <w:rPr>
          <w:rFonts w:cstheme="minorHAnsi"/>
        </w:rPr>
        <w:t>:</w:t>
      </w:r>
    </w:p>
    <w:p w14:paraId="24E3CFE0" w14:textId="7B7EC365" w:rsidR="00797E6D" w:rsidRPr="00463FC5" w:rsidRDefault="00797E6D" w:rsidP="00797E6D">
      <w:pPr>
        <w:tabs>
          <w:tab w:val="left" w:pos="3567"/>
        </w:tabs>
        <w:spacing w:line="240" w:lineRule="auto"/>
        <w:rPr>
          <w:rFonts w:cstheme="minorHAnsi"/>
        </w:rPr>
      </w:pPr>
      <w:r w:rsidRPr="00463FC5">
        <w:rPr>
          <w:rFonts w:cstheme="minorHAnsi"/>
        </w:rPr>
        <w:t xml:space="preserve">I am writing this letter of medical necessity in support of my request to </w:t>
      </w:r>
      <w:r>
        <w:rPr>
          <w:rFonts w:cstheme="minorHAnsi"/>
        </w:rPr>
        <w:t xml:space="preserve">continue </w:t>
      </w:r>
      <w:r w:rsidRPr="00463FC5">
        <w:rPr>
          <w:rFonts w:cstheme="minorHAnsi"/>
        </w:rPr>
        <w:t>treat</w:t>
      </w:r>
      <w:r>
        <w:rPr>
          <w:rFonts w:cstheme="minorHAnsi"/>
        </w:rPr>
        <w:t>ing</w:t>
      </w:r>
      <w:r w:rsidRPr="00463FC5">
        <w:rPr>
          <w:rFonts w:cstheme="minorHAnsi"/>
        </w:rPr>
        <w:t xml:space="preserve"> </w:t>
      </w:r>
      <w:r w:rsidRPr="00463FC5">
        <w:rPr>
          <w:rFonts w:cstheme="minorHAnsi"/>
          <w:highlight w:val="lightGray"/>
        </w:rPr>
        <w:t>[Patient Name]</w:t>
      </w:r>
      <w:r w:rsidRPr="00463FC5">
        <w:rPr>
          <w:rFonts w:cstheme="minorHAnsi"/>
        </w:rPr>
        <w:t xml:space="preserve"> with </w:t>
      </w:r>
      <w:r>
        <w:rPr>
          <w:rFonts w:cstheme="minorHAnsi"/>
        </w:rPr>
        <w:br/>
      </w:r>
      <w:r w:rsidR="00CE4C46">
        <w:rPr>
          <w:rFonts w:cstheme="minorHAnsi"/>
        </w:rPr>
        <w:t>TYSABRI</w:t>
      </w:r>
      <w:r w:rsidRPr="00463FC5">
        <w:rPr>
          <w:rFonts w:cstheme="minorHAnsi"/>
        </w:rPr>
        <w:t>®</w:t>
      </w:r>
      <w:r>
        <w:rPr>
          <w:rFonts w:cstheme="minorHAnsi"/>
        </w:rPr>
        <w:t xml:space="preserve"> (</w:t>
      </w:r>
      <w:r w:rsidR="00CE4C46" w:rsidRPr="00F3327D">
        <w:t>natalizumab</w:t>
      </w:r>
      <w:r>
        <w:rPr>
          <w:rFonts w:cstheme="minorHAnsi"/>
        </w:rPr>
        <w:t>)</w:t>
      </w:r>
      <w:r w:rsidRPr="00463FC5">
        <w:rPr>
          <w:rFonts w:cstheme="minorHAnsi"/>
        </w:rPr>
        <w:t xml:space="preserve">, a United States Food and Drug Administration (FDA)-approved therapy indicated for the treatment of patients with relapsing forms of multiple sclerosis (RMS), to include clinically isolated syndrome, </w:t>
      </w:r>
      <w:r w:rsidR="0008243B">
        <w:rPr>
          <w:rFonts w:cstheme="minorHAnsi"/>
        </w:rPr>
        <w:br/>
      </w:r>
      <w:r w:rsidRPr="00463FC5">
        <w:rPr>
          <w:rFonts w:cstheme="minorHAnsi"/>
        </w:rPr>
        <w:t>relapsing-remitting disease, and active secondary progressive disease, in adults.</w:t>
      </w:r>
      <w:r w:rsidRPr="00463FC5">
        <w:rPr>
          <w:rFonts w:cstheme="minorHAnsi"/>
          <w:vertAlign w:val="superscript"/>
        </w:rPr>
        <w:t>1</w:t>
      </w:r>
      <w:r w:rsidRPr="00463FC5">
        <w:rPr>
          <w:rFonts w:cstheme="minorHAnsi"/>
        </w:rPr>
        <w:t xml:space="preserve"> The full prescribing information for </w:t>
      </w:r>
      <w:r w:rsidR="00CE4C46">
        <w:rPr>
          <w:rFonts w:cstheme="minorHAnsi"/>
        </w:rPr>
        <w:t>TYSABRI</w:t>
      </w:r>
      <w:r w:rsidRPr="00463FC5">
        <w:rPr>
          <w:rFonts w:cstheme="minorHAnsi"/>
        </w:rPr>
        <w:t xml:space="preserve"> can be accessed at</w:t>
      </w:r>
      <w:r w:rsidR="00325708">
        <w:rPr>
          <w:rFonts w:cstheme="minorHAnsi"/>
        </w:rPr>
        <w:t xml:space="preserve"> </w:t>
      </w:r>
      <w:hyperlink r:id="rId9" w:history="1">
        <w:r w:rsidR="00325708">
          <w:rPr>
            <w:rStyle w:val="Hyperlink"/>
            <w:rFonts w:cstheme="minorHAnsi"/>
          </w:rPr>
          <w:t>www.tysabrihcp.com</w:t>
        </w:r>
      </w:hyperlink>
      <w:r w:rsidRPr="00AA6904">
        <w:rPr>
          <w:rFonts w:cstheme="minorHAnsi"/>
          <w:color w:val="000000" w:themeColor="text1"/>
        </w:rPr>
        <w:t>.</w:t>
      </w:r>
      <w:r w:rsidR="00325708">
        <w:rPr>
          <w:rFonts w:cstheme="minorHAnsi"/>
          <w:color w:val="000000" w:themeColor="text1"/>
        </w:rPr>
        <w:t xml:space="preserve"> </w:t>
      </w:r>
      <w:r>
        <w:rPr>
          <w:rFonts w:cstheme="minorHAnsi"/>
          <w:color w:val="000000" w:themeColor="text1"/>
        </w:rPr>
        <w:t xml:space="preserve"> </w:t>
      </w:r>
    </w:p>
    <w:p w14:paraId="52AA9320" w14:textId="1903FAA1" w:rsidR="00797E6D" w:rsidRDefault="00797E6D" w:rsidP="00797E6D">
      <w:pPr>
        <w:tabs>
          <w:tab w:val="left" w:pos="3567"/>
        </w:tabs>
        <w:spacing w:line="240" w:lineRule="auto"/>
        <w:rPr>
          <w:rFonts w:cstheme="minorHAnsi"/>
          <w:highlight w:val="lightGray"/>
        </w:rPr>
      </w:pPr>
      <w:r>
        <w:t xml:space="preserve">As a board-certified </w:t>
      </w:r>
      <w:r w:rsidRPr="00787F2B">
        <w:rPr>
          <w:highlight w:val="lightGray"/>
        </w:rPr>
        <w:t>[field of certification]</w:t>
      </w:r>
      <w:r>
        <w:t xml:space="preserve"> with </w:t>
      </w:r>
      <w:r w:rsidRPr="0006754A">
        <w:rPr>
          <w:rFonts w:cstheme="minorHAnsi"/>
          <w:color w:val="1A1A1A"/>
          <w:highlight w:val="lightGray"/>
        </w:rPr>
        <w:t>[XX]</w:t>
      </w:r>
      <w:r w:rsidRPr="0006754A">
        <w:rPr>
          <w:rFonts w:cstheme="minorHAnsi"/>
          <w:color w:val="1A1A1A"/>
        </w:rPr>
        <w:t xml:space="preserve"> years of experience treating MS, I believe that the RMS medication</w:t>
      </w:r>
      <w:r w:rsidRPr="00381FDF">
        <w:rPr>
          <w:rFonts w:cstheme="minorHAnsi"/>
          <w:color w:val="1A1A1A"/>
          <w:highlight w:val="lightGray"/>
        </w:rPr>
        <w:t>[s]</w:t>
      </w:r>
      <w:r w:rsidRPr="0006754A">
        <w:rPr>
          <w:rFonts w:cstheme="minorHAnsi"/>
          <w:color w:val="1A1A1A"/>
        </w:rPr>
        <w:t xml:space="preserve"> preferred by your coverage policy </w:t>
      </w:r>
      <w:r w:rsidRPr="00404E92">
        <w:rPr>
          <w:rFonts w:cstheme="minorHAnsi"/>
          <w:color w:val="1A1A1A"/>
          <w:highlight w:val="lightGray"/>
        </w:rPr>
        <w:t>[is/are]</w:t>
      </w:r>
      <w:r w:rsidRPr="0006754A">
        <w:rPr>
          <w:rFonts w:cstheme="minorHAnsi"/>
          <w:color w:val="1A1A1A"/>
        </w:rPr>
        <w:t xml:space="preserve"> not appropriate for my patient’s MS</w:t>
      </w:r>
      <w:r w:rsidRPr="002F13B5">
        <w:rPr>
          <w:rFonts w:cstheme="minorHAnsi"/>
          <w:color w:val="1A1A1A"/>
        </w:rPr>
        <w:t xml:space="preserve">. </w:t>
      </w:r>
      <w:r w:rsidRPr="002F13B5">
        <w:rPr>
          <w:rFonts w:cstheme="minorHAnsi"/>
        </w:rPr>
        <w:t xml:space="preserve">Utilizing </w:t>
      </w:r>
      <w:r w:rsidRPr="00FE0E7E">
        <w:rPr>
          <w:rFonts w:cstheme="minorHAnsi"/>
          <w:highlight w:val="lightGray"/>
        </w:rPr>
        <w:t xml:space="preserve">[name of product(s)] instead of </w:t>
      </w:r>
      <w:r w:rsidR="00CE4C46">
        <w:rPr>
          <w:rFonts w:cstheme="minorHAnsi"/>
          <w:highlight w:val="lightGray"/>
        </w:rPr>
        <w:t>TYSABRI</w:t>
      </w:r>
      <w:r w:rsidRPr="00FE0E7E">
        <w:rPr>
          <w:rFonts w:cstheme="minorHAnsi"/>
          <w:highlight w:val="lightGray"/>
        </w:rPr>
        <w:t xml:space="preserve"> is not appropriate for [him/her/them] because [list reason(s) medication(s) are not appropriate such as safety, efficacy, contraindications, tolerability, route of administration, </w:t>
      </w:r>
      <w:proofErr w:type="spellStart"/>
      <w:r w:rsidRPr="00FE0E7E">
        <w:rPr>
          <w:rFonts w:cstheme="minorHAnsi"/>
          <w:highlight w:val="lightGray"/>
        </w:rPr>
        <w:t>etc</w:t>
      </w:r>
      <w:proofErr w:type="spellEnd"/>
      <w:r w:rsidRPr="000A0451">
        <w:rPr>
          <w:rFonts w:cstheme="minorHAnsi"/>
          <w:highlight w:val="lightGray"/>
        </w:rPr>
        <w:t>].</w:t>
      </w:r>
      <w:r w:rsidRPr="000A0451">
        <w:rPr>
          <w:rFonts w:cstheme="minorHAnsi"/>
          <w:color w:val="1A1A1A"/>
          <w:highlight w:val="lightGray"/>
        </w:rPr>
        <w:t xml:space="preserve"> [HCP </w:t>
      </w:r>
      <w:r w:rsidRPr="00173A6B">
        <w:rPr>
          <w:rFonts w:cstheme="minorHAnsi"/>
          <w:color w:val="1A1A1A"/>
          <w:highlight w:val="lightGray"/>
        </w:rPr>
        <w:t xml:space="preserve">to state the number of years they have been treating the patient and their opinion on the necessity of treating with </w:t>
      </w:r>
      <w:r w:rsidR="00CE4C46">
        <w:rPr>
          <w:rFonts w:cstheme="minorHAnsi"/>
          <w:color w:val="1A1A1A"/>
          <w:highlight w:val="lightGray"/>
        </w:rPr>
        <w:t>TYSABRI</w:t>
      </w:r>
      <w:r w:rsidRPr="00173A6B">
        <w:rPr>
          <w:rFonts w:cstheme="minorHAnsi"/>
          <w:color w:val="1A1A1A"/>
          <w:highlight w:val="lightGray"/>
        </w:rPr>
        <w:t>.]</w:t>
      </w:r>
      <w:r w:rsidRPr="009813AA">
        <w:rPr>
          <w:rFonts w:cstheme="minorHAnsi"/>
          <w:highlight w:val="lightGray"/>
        </w:rPr>
        <w:t xml:space="preserve"> </w:t>
      </w:r>
    </w:p>
    <w:p w14:paraId="74DB08CA" w14:textId="5D61CC4E" w:rsidR="00797E6D" w:rsidRPr="0006754A" w:rsidRDefault="00797E6D" w:rsidP="00797E6D">
      <w:pPr>
        <w:tabs>
          <w:tab w:val="left" w:pos="3567"/>
        </w:tabs>
        <w:spacing w:line="240" w:lineRule="auto"/>
        <w:rPr>
          <w:rFonts w:cstheme="minorHAnsi"/>
        </w:rPr>
      </w:pPr>
      <w:r w:rsidRPr="009813AA">
        <w:rPr>
          <w:rFonts w:cstheme="minorHAnsi"/>
          <w:highlight w:val="lightGray"/>
        </w:rPr>
        <w:t>[The previous disease-modifying [therapy/therapies] for this patient include:]</w:t>
      </w:r>
    </w:p>
    <w:tbl>
      <w:tblPr>
        <w:tblStyle w:val="TableGrid"/>
        <w:tblW w:w="0" w:type="auto"/>
        <w:tblLook w:val="04A0" w:firstRow="1" w:lastRow="0" w:firstColumn="1" w:lastColumn="0" w:noHBand="0" w:noVBand="1"/>
      </w:tblPr>
      <w:tblGrid>
        <w:gridCol w:w="2335"/>
        <w:gridCol w:w="1260"/>
        <w:gridCol w:w="2160"/>
        <w:gridCol w:w="5035"/>
      </w:tblGrid>
      <w:tr w:rsidR="00797E6D" w:rsidRPr="0006754A" w14:paraId="40E96509" w14:textId="77777777" w:rsidTr="00746619">
        <w:tc>
          <w:tcPr>
            <w:tcW w:w="2335" w:type="dxa"/>
          </w:tcPr>
          <w:p w14:paraId="11ED293E" w14:textId="77777777" w:rsidR="00797E6D" w:rsidRPr="0006754A" w:rsidRDefault="00797E6D" w:rsidP="00746619">
            <w:pPr>
              <w:tabs>
                <w:tab w:val="left" w:pos="3567"/>
              </w:tabs>
              <w:spacing w:after="0" w:line="240" w:lineRule="auto"/>
              <w:rPr>
                <w:rFonts w:cstheme="minorHAnsi"/>
                <w:b/>
                <w:bCs/>
              </w:rPr>
            </w:pPr>
            <w:r w:rsidRPr="0006754A">
              <w:rPr>
                <w:rFonts w:cstheme="minorHAnsi"/>
                <w:b/>
                <w:bCs/>
              </w:rPr>
              <w:t>Medication</w:t>
            </w:r>
          </w:p>
        </w:tc>
        <w:tc>
          <w:tcPr>
            <w:tcW w:w="1260" w:type="dxa"/>
          </w:tcPr>
          <w:p w14:paraId="5253ECBD" w14:textId="77777777" w:rsidR="00797E6D" w:rsidRPr="0006754A" w:rsidRDefault="00797E6D" w:rsidP="00746619">
            <w:pPr>
              <w:tabs>
                <w:tab w:val="left" w:pos="3567"/>
              </w:tabs>
              <w:spacing w:after="0" w:line="240" w:lineRule="auto"/>
              <w:rPr>
                <w:rFonts w:cstheme="minorHAnsi"/>
                <w:b/>
                <w:bCs/>
              </w:rPr>
            </w:pPr>
            <w:r w:rsidRPr="0006754A">
              <w:rPr>
                <w:rFonts w:cstheme="minorHAnsi"/>
                <w:b/>
                <w:bCs/>
              </w:rPr>
              <w:t>Strength</w:t>
            </w:r>
          </w:p>
        </w:tc>
        <w:tc>
          <w:tcPr>
            <w:tcW w:w="2160" w:type="dxa"/>
          </w:tcPr>
          <w:p w14:paraId="78ADF7DB" w14:textId="77777777" w:rsidR="00797E6D" w:rsidRPr="0006754A" w:rsidRDefault="00797E6D" w:rsidP="00746619">
            <w:pPr>
              <w:tabs>
                <w:tab w:val="left" w:pos="3567"/>
              </w:tabs>
              <w:spacing w:after="0" w:line="240" w:lineRule="auto"/>
              <w:rPr>
                <w:rFonts w:cstheme="minorHAnsi"/>
                <w:b/>
                <w:bCs/>
              </w:rPr>
            </w:pPr>
            <w:r w:rsidRPr="0006754A">
              <w:rPr>
                <w:rFonts w:cstheme="minorHAnsi"/>
                <w:b/>
                <w:bCs/>
              </w:rPr>
              <w:t>Dates of Therapy</w:t>
            </w:r>
          </w:p>
        </w:tc>
        <w:tc>
          <w:tcPr>
            <w:tcW w:w="5035" w:type="dxa"/>
          </w:tcPr>
          <w:p w14:paraId="450A8DA9" w14:textId="2312EF6E" w:rsidR="00797E6D" w:rsidRPr="0006754A" w:rsidRDefault="00797E6D" w:rsidP="00746619">
            <w:pPr>
              <w:tabs>
                <w:tab w:val="left" w:pos="3567"/>
              </w:tabs>
              <w:spacing w:after="0" w:line="240" w:lineRule="auto"/>
              <w:rPr>
                <w:rFonts w:cstheme="minorHAnsi"/>
                <w:b/>
                <w:bCs/>
              </w:rPr>
            </w:pPr>
            <w:r w:rsidRPr="0006754A">
              <w:rPr>
                <w:rFonts w:cstheme="minorHAnsi"/>
                <w:b/>
                <w:bCs/>
              </w:rPr>
              <w:t>Reason for Failure/Discontinuation or Contraindications</w:t>
            </w:r>
          </w:p>
        </w:tc>
      </w:tr>
      <w:tr w:rsidR="00797E6D" w:rsidRPr="0006754A" w14:paraId="0EE77C0D" w14:textId="77777777" w:rsidTr="00746619">
        <w:tc>
          <w:tcPr>
            <w:tcW w:w="2335" w:type="dxa"/>
          </w:tcPr>
          <w:p w14:paraId="54D5DF89" w14:textId="77777777" w:rsidR="00797E6D" w:rsidRPr="0006754A" w:rsidRDefault="00797E6D" w:rsidP="00746619">
            <w:pPr>
              <w:tabs>
                <w:tab w:val="left" w:pos="3567"/>
              </w:tabs>
              <w:spacing w:after="0" w:line="240" w:lineRule="auto"/>
              <w:rPr>
                <w:rFonts w:cstheme="minorHAnsi"/>
              </w:rPr>
            </w:pPr>
          </w:p>
        </w:tc>
        <w:tc>
          <w:tcPr>
            <w:tcW w:w="1260" w:type="dxa"/>
          </w:tcPr>
          <w:p w14:paraId="2BED7FBC" w14:textId="77777777" w:rsidR="00797E6D" w:rsidRPr="0006754A" w:rsidRDefault="00797E6D" w:rsidP="00746619">
            <w:pPr>
              <w:tabs>
                <w:tab w:val="left" w:pos="3567"/>
              </w:tabs>
              <w:spacing w:after="0" w:line="240" w:lineRule="auto"/>
              <w:rPr>
                <w:rFonts w:cstheme="minorHAnsi"/>
              </w:rPr>
            </w:pPr>
          </w:p>
        </w:tc>
        <w:tc>
          <w:tcPr>
            <w:tcW w:w="2160" w:type="dxa"/>
          </w:tcPr>
          <w:p w14:paraId="514A1787" w14:textId="77777777" w:rsidR="00797E6D" w:rsidRPr="0006754A" w:rsidRDefault="00797E6D" w:rsidP="00746619">
            <w:pPr>
              <w:tabs>
                <w:tab w:val="left" w:pos="3567"/>
              </w:tabs>
              <w:spacing w:after="0" w:line="240" w:lineRule="auto"/>
              <w:rPr>
                <w:rFonts w:cstheme="minorHAnsi"/>
              </w:rPr>
            </w:pPr>
          </w:p>
        </w:tc>
        <w:tc>
          <w:tcPr>
            <w:tcW w:w="5035" w:type="dxa"/>
          </w:tcPr>
          <w:p w14:paraId="227573C8" w14:textId="77777777" w:rsidR="00797E6D" w:rsidRPr="0006754A" w:rsidRDefault="00797E6D" w:rsidP="00746619">
            <w:pPr>
              <w:tabs>
                <w:tab w:val="left" w:pos="3567"/>
              </w:tabs>
              <w:spacing w:after="0" w:line="240" w:lineRule="auto"/>
              <w:rPr>
                <w:rFonts w:cstheme="minorHAnsi"/>
              </w:rPr>
            </w:pPr>
          </w:p>
        </w:tc>
      </w:tr>
      <w:tr w:rsidR="00797E6D" w:rsidRPr="0006754A" w14:paraId="2CD39D80" w14:textId="77777777" w:rsidTr="00746619">
        <w:tc>
          <w:tcPr>
            <w:tcW w:w="2335" w:type="dxa"/>
          </w:tcPr>
          <w:p w14:paraId="618EC1A2" w14:textId="77777777" w:rsidR="00797E6D" w:rsidRPr="0006754A" w:rsidRDefault="00797E6D" w:rsidP="00746619">
            <w:pPr>
              <w:tabs>
                <w:tab w:val="left" w:pos="3567"/>
              </w:tabs>
              <w:spacing w:after="0" w:line="240" w:lineRule="auto"/>
              <w:rPr>
                <w:rFonts w:cstheme="minorHAnsi"/>
              </w:rPr>
            </w:pPr>
          </w:p>
        </w:tc>
        <w:tc>
          <w:tcPr>
            <w:tcW w:w="1260" w:type="dxa"/>
          </w:tcPr>
          <w:p w14:paraId="3CA7458F" w14:textId="77777777" w:rsidR="00797E6D" w:rsidRPr="0006754A" w:rsidRDefault="00797E6D" w:rsidP="00746619">
            <w:pPr>
              <w:tabs>
                <w:tab w:val="left" w:pos="3567"/>
              </w:tabs>
              <w:spacing w:after="0" w:line="240" w:lineRule="auto"/>
              <w:rPr>
                <w:rFonts w:cstheme="minorHAnsi"/>
              </w:rPr>
            </w:pPr>
          </w:p>
        </w:tc>
        <w:tc>
          <w:tcPr>
            <w:tcW w:w="2160" w:type="dxa"/>
          </w:tcPr>
          <w:p w14:paraId="78245364" w14:textId="77777777" w:rsidR="00797E6D" w:rsidRPr="0006754A" w:rsidRDefault="00797E6D" w:rsidP="00746619">
            <w:pPr>
              <w:tabs>
                <w:tab w:val="left" w:pos="3567"/>
              </w:tabs>
              <w:spacing w:after="0" w:line="240" w:lineRule="auto"/>
              <w:rPr>
                <w:rFonts w:cstheme="minorHAnsi"/>
              </w:rPr>
            </w:pPr>
          </w:p>
        </w:tc>
        <w:tc>
          <w:tcPr>
            <w:tcW w:w="5035" w:type="dxa"/>
          </w:tcPr>
          <w:p w14:paraId="24A0185E" w14:textId="36A33E36" w:rsidR="00797E6D" w:rsidRPr="0006754A" w:rsidRDefault="00797E6D" w:rsidP="00746619">
            <w:pPr>
              <w:tabs>
                <w:tab w:val="left" w:pos="3567"/>
              </w:tabs>
              <w:spacing w:after="0" w:line="240" w:lineRule="auto"/>
              <w:rPr>
                <w:rFonts w:cstheme="minorHAnsi"/>
              </w:rPr>
            </w:pPr>
          </w:p>
        </w:tc>
      </w:tr>
      <w:tr w:rsidR="00797E6D" w:rsidRPr="0006754A" w14:paraId="1FB5AF54" w14:textId="77777777" w:rsidTr="00746619">
        <w:tc>
          <w:tcPr>
            <w:tcW w:w="2335" w:type="dxa"/>
          </w:tcPr>
          <w:p w14:paraId="4D4DF8B0" w14:textId="77777777" w:rsidR="00797E6D" w:rsidRPr="0006754A" w:rsidRDefault="00797E6D" w:rsidP="00746619">
            <w:pPr>
              <w:tabs>
                <w:tab w:val="left" w:pos="3567"/>
              </w:tabs>
              <w:spacing w:after="0" w:line="240" w:lineRule="auto"/>
              <w:rPr>
                <w:rFonts w:cstheme="minorHAnsi"/>
              </w:rPr>
            </w:pPr>
          </w:p>
        </w:tc>
        <w:tc>
          <w:tcPr>
            <w:tcW w:w="1260" w:type="dxa"/>
          </w:tcPr>
          <w:p w14:paraId="434A52D3" w14:textId="77777777" w:rsidR="00797E6D" w:rsidRPr="0006754A" w:rsidRDefault="00797E6D" w:rsidP="00746619">
            <w:pPr>
              <w:tabs>
                <w:tab w:val="left" w:pos="3567"/>
              </w:tabs>
              <w:spacing w:after="0" w:line="240" w:lineRule="auto"/>
              <w:rPr>
                <w:rFonts w:cstheme="minorHAnsi"/>
              </w:rPr>
            </w:pPr>
          </w:p>
        </w:tc>
        <w:tc>
          <w:tcPr>
            <w:tcW w:w="2160" w:type="dxa"/>
          </w:tcPr>
          <w:p w14:paraId="15584F28" w14:textId="77777777" w:rsidR="00797E6D" w:rsidRPr="0006754A" w:rsidRDefault="00797E6D" w:rsidP="00746619">
            <w:pPr>
              <w:tabs>
                <w:tab w:val="left" w:pos="3567"/>
              </w:tabs>
              <w:spacing w:after="0" w:line="240" w:lineRule="auto"/>
              <w:rPr>
                <w:rFonts w:cstheme="minorHAnsi"/>
              </w:rPr>
            </w:pPr>
          </w:p>
        </w:tc>
        <w:tc>
          <w:tcPr>
            <w:tcW w:w="5035" w:type="dxa"/>
          </w:tcPr>
          <w:p w14:paraId="77E17796" w14:textId="77A2583F" w:rsidR="00797E6D" w:rsidRPr="0006754A" w:rsidRDefault="00797E6D" w:rsidP="00746619">
            <w:pPr>
              <w:tabs>
                <w:tab w:val="left" w:pos="3567"/>
              </w:tabs>
              <w:spacing w:after="0" w:line="240" w:lineRule="auto"/>
              <w:rPr>
                <w:rFonts w:cstheme="minorHAnsi"/>
              </w:rPr>
            </w:pPr>
          </w:p>
        </w:tc>
      </w:tr>
      <w:tr w:rsidR="00797E6D" w:rsidRPr="0006754A" w14:paraId="5E4D5A7C" w14:textId="77777777" w:rsidTr="00746619">
        <w:tc>
          <w:tcPr>
            <w:tcW w:w="2335" w:type="dxa"/>
          </w:tcPr>
          <w:p w14:paraId="1813EA7B" w14:textId="77777777" w:rsidR="00797E6D" w:rsidRPr="0006754A" w:rsidRDefault="00797E6D" w:rsidP="00746619">
            <w:pPr>
              <w:tabs>
                <w:tab w:val="left" w:pos="3567"/>
              </w:tabs>
              <w:spacing w:after="0" w:line="240" w:lineRule="auto"/>
              <w:rPr>
                <w:rFonts w:cstheme="minorHAnsi"/>
              </w:rPr>
            </w:pPr>
          </w:p>
        </w:tc>
        <w:tc>
          <w:tcPr>
            <w:tcW w:w="1260" w:type="dxa"/>
          </w:tcPr>
          <w:p w14:paraId="4F1736AB" w14:textId="77777777" w:rsidR="00797E6D" w:rsidRPr="0006754A" w:rsidRDefault="00797E6D" w:rsidP="00746619">
            <w:pPr>
              <w:tabs>
                <w:tab w:val="left" w:pos="3567"/>
              </w:tabs>
              <w:spacing w:after="0" w:line="240" w:lineRule="auto"/>
              <w:rPr>
                <w:rFonts w:cstheme="minorHAnsi"/>
              </w:rPr>
            </w:pPr>
          </w:p>
        </w:tc>
        <w:tc>
          <w:tcPr>
            <w:tcW w:w="2160" w:type="dxa"/>
          </w:tcPr>
          <w:p w14:paraId="48990A9F" w14:textId="77777777" w:rsidR="00797E6D" w:rsidRPr="0006754A" w:rsidRDefault="00797E6D" w:rsidP="00746619">
            <w:pPr>
              <w:tabs>
                <w:tab w:val="left" w:pos="3567"/>
              </w:tabs>
              <w:spacing w:after="0" w:line="240" w:lineRule="auto"/>
              <w:rPr>
                <w:rFonts w:cstheme="minorHAnsi"/>
              </w:rPr>
            </w:pPr>
          </w:p>
        </w:tc>
        <w:tc>
          <w:tcPr>
            <w:tcW w:w="5035" w:type="dxa"/>
          </w:tcPr>
          <w:p w14:paraId="3239610F" w14:textId="2F2FD808" w:rsidR="00797E6D" w:rsidRPr="0006754A" w:rsidRDefault="00797E6D" w:rsidP="00746619">
            <w:pPr>
              <w:tabs>
                <w:tab w:val="left" w:pos="3567"/>
              </w:tabs>
              <w:spacing w:after="0" w:line="240" w:lineRule="auto"/>
              <w:rPr>
                <w:rFonts w:cstheme="minorHAnsi"/>
              </w:rPr>
            </w:pPr>
          </w:p>
        </w:tc>
      </w:tr>
    </w:tbl>
    <w:p w14:paraId="58951F50" w14:textId="3F2310D0" w:rsidR="00797E6D" w:rsidRPr="0006754A" w:rsidRDefault="00797E6D" w:rsidP="00797E6D">
      <w:pPr>
        <w:tabs>
          <w:tab w:val="left" w:pos="3567"/>
        </w:tabs>
        <w:spacing w:after="60" w:line="240" w:lineRule="auto"/>
        <w:rPr>
          <w:rFonts w:cstheme="minorHAnsi"/>
        </w:rPr>
      </w:pPr>
      <w:r>
        <w:rPr>
          <w:rFonts w:cstheme="minorHAnsi"/>
        </w:rPr>
        <w:br/>
      </w:r>
      <w:r w:rsidRPr="0006754A">
        <w:rPr>
          <w:rFonts w:cstheme="minorHAnsi"/>
        </w:rPr>
        <w:t xml:space="preserve">I have evaluated my patient’s clinical </w:t>
      </w:r>
      <w:r>
        <w:rPr>
          <w:rFonts w:cstheme="minorHAnsi"/>
        </w:rPr>
        <w:t xml:space="preserve">response to </w:t>
      </w:r>
      <w:r w:rsidR="00CE4C46">
        <w:rPr>
          <w:rFonts w:cstheme="minorHAnsi"/>
        </w:rPr>
        <w:t>TYSABRI</w:t>
      </w:r>
      <w:r w:rsidRPr="0006754A">
        <w:rPr>
          <w:rFonts w:cstheme="minorHAnsi"/>
        </w:rPr>
        <w:t xml:space="preserve"> and have provided a summary below:</w:t>
      </w:r>
    </w:p>
    <w:p w14:paraId="6BDF18DA" w14:textId="0A72550A" w:rsidR="00797E6D" w:rsidRPr="007576B6" w:rsidRDefault="00797E6D" w:rsidP="00797E6D">
      <w:pPr>
        <w:numPr>
          <w:ilvl w:val="0"/>
          <w:numId w:val="10"/>
        </w:numPr>
        <w:spacing w:after="60" w:line="240" w:lineRule="auto"/>
        <w:contextualSpacing/>
        <w:rPr>
          <w:rFonts w:cstheme="minorHAnsi"/>
        </w:rPr>
      </w:pPr>
      <w:r>
        <w:rPr>
          <w:rFonts w:cstheme="minorHAnsi"/>
          <w:highlight w:val="lightGray"/>
        </w:rPr>
        <w:t>[</w:t>
      </w:r>
      <w:r w:rsidRPr="007576B6">
        <w:rPr>
          <w:rFonts w:cstheme="minorHAnsi"/>
          <w:highlight w:val="lightGray"/>
        </w:rPr>
        <w:t>Date of diagnosis and ICD-10 code(s)]</w:t>
      </w:r>
    </w:p>
    <w:p w14:paraId="68C94666" w14:textId="00BB6780" w:rsidR="00797E6D" w:rsidRDefault="00797E6D" w:rsidP="00797E6D">
      <w:pPr>
        <w:numPr>
          <w:ilvl w:val="0"/>
          <w:numId w:val="10"/>
        </w:numPr>
        <w:spacing w:after="60" w:line="240" w:lineRule="auto"/>
        <w:contextualSpacing/>
        <w:rPr>
          <w:rFonts w:cstheme="minorHAnsi"/>
        </w:rPr>
      </w:pPr>
      <w:r w:rsidRPr="007576B6">
        <w:rPr>
          <w:rFonts w:cstheme="minorHAnsi"/>
          <w:highlight w:val="lightGray"/>
        </w:rPr>
        <w:fldChar w:fldCharType="begin">
          <w:ffData>
            <w:name w:val=""/>
            <w:enabled/>
            <w:calcOnExit w:val="0"/>
            <w:textInput>
              <w:default w:val="[MRI data]"/>
            </w:textInput>
          </w:ffData>
        </w:fldChar>
      </w:r>
      <w:r w:rsidRPr="007576B6">
        <w:rPr>
          <w:rFonts w:cstheme="minorHAnsi"/>
          <w:highlight w:val="lightGray"/>
        </w:rPr>
        <w:instrText xml:space="preserve"> FORMTEXT </w:instrText>
      </w:r>
      <w:r w:rsidRPr="007576B6">
        <w:rPr>
          <w:rFonts w:cstheme="minorHAnsi"/>
          <w:highlight w:val="lightGray"/>
        </w:rPr>
      </w:r>
      <w:r w:rsidRPr="007576B6">
        <w:rPr>
          <w:rFonts w:cstheme="minorHAnsi"/>
          <w:highlight w:val="lightGray"/>
        </w:rPr>
        <w:fldChar w:fldCharType="separate"/>
      </w:r>
      <w:r w:rsidRPr="007576B6">
        <w:rPr>
          <w:rFonts w:cstheme="minorHAnsi"/>
          <w:noProof/>
          <w:highlight w:val="lightGray"/>
        </w:rPr>
        <w:t>[</w:t>
      </w:r>
      <w:r>
        <w:rPr>
          <w:rFonts w:cstheme="minorHAnsi"/>
          <w:noProof/>
          <w:highlight w:val="lightGray"/>
        </w:rPr>
        <w:t>Magnetic resonance imaging (</w:t>
      </w:r>
      <w:r w:rsidRPr="007576B6">
        <w:rPr>
          <w:rFonts w:cstheme="minorHAnsi"/>
          <w:noProof/>
          <w:highlight w:val="lightGray"/>
        </w:rPr>
        <w:t>MRI</w:t>
      </w:r>
      <w:r>
        <w:rPr>
          <w:rFonts w:cstheme="minorHAnsi"/>
          <w:noProof/>
          <w:highlight w:val="lightGray"/>
        </w:rPr>
        <w:t>)</w:t>
      </w:r>
      <w:r w:rsidRPr="007576B6">
        <w:rPr>
          <w:rFonts w:cstheme="minorHAnsi"/>
          <w:noProof/>
          <w:highlight w:val="lightGray"/>
        </w:rPr>
        <w:t xml:space="preserve"> data]</w:t>
      </w:r>
      <w:r w:rsidRPr="007576B6">
        <w:rPr>
          <w:rFonts w:cstheme="minorHAnsi"/>
          <w:highlight w:val="lightGray"/>
        </w:rPr>
        <w:fldChar w:fldCharType="end"/>
      </w:r>
    </w:p>
    <w:p w14:paraId="2E1C1FF1" w14:textId="09082EBA" w:rsidR="008A4461" w:rsidRPr="00E6714E" w:rsidRDefault="008A4461" w:rsidP="008A4461">
      <w:pPr>
        <w:numPr>
          <w:ilvl w:val="0"/>
          <w:numId w:val="10"/>
        </w:numPr>
        <w:spacing w:after="60" w:line="240" w:lineRule="auto"/>
        <w:contextualSpacing/>
        <w:rPr>
          <w:rFonts w:cstheme="minorHAnsi"/>
        </w:rPr>
      </w:pPr>
      <w:r w:rsidRPr="00E9270A">
        <w:rPr>
          <w:highlight w:val="lightGray"/>
        </w:rPr>
        <w:t>[This patient has highly active or aggressive MS as evidenced by:</w:t>
      </w:r>
    </w:p>
    <w:p w14:paraId="08023EBD" w14:textId="3703E774" w:rsidR="008A4461" w:rsidRPr="00E6714E" w:rsidRDefault="008A4461" w:rsidP="008A4461">
      <w:pPr>
        <w:numPr>
          <w:ilvl w:val="1"/>
          <w:numId w:val="33"/>
        </w:numPr>
        <w:spacing w:after="60" w:line="240" w:lineRule="auto"/>
        <w:contextualSpacing/>
        <w:rPr>
          <w:rFonts w:cstheme="minorHAnsi"/>
        </w:rPr>
      </w:pPr>
      <w:r w:rsidRPr="00E9270A">
        <w:rPr>
          <w:highlight w:val="lightGray"/>
        </w:rPr>
        <w:t>Demonstration of rapidly advancing deterioration(s) in physical functioning (for example, loss of mobility/or lower levels of ambulation, severe changes in strength or coordination)</w:t>
      </w:r>
    </w:p>
    <w:p w14:paraId="592D987F" w14:textId="7C353B0A" w:rsidR="008A4461" w:rsidRPr="00E6714E" w:rsidRDefault="008A4461" w:rsidP="008A4461">
      <w:pPr>
        <w:numPr>
          <w:ilvl w:val="1"/>
          <w:numId w:val="33"/>
        </w:numPr>
        <w:spacing w:after="60" w:line="240" w:lineRule="auto"/>
        <w:contextualSpacing/>
        <w:rPr>
          <w:rFonts w:cstheme="minorHAnsi"/>
        </w:rPr>
      </w:pPr>
      <w:r w:rsidRPr="00E9270A">
        <w:rPr>
          <w:highlight w:val="lightGray"/>
        </w:rPr>
        <w:t>Documentation of disabling relapse(s) with suboptimal response to systemic corticosteroids</w:t>
      </w:r>
    </w:p>
    <w:p w14:paraId="4540370C" w14:textId="0B9B0B9D" w:rsidR="008A4461" w:rsidRPr="00E6714E" w:rsidRDefault="008A4461" w:rsidP="008A4461">
      <w:pPr>
        <w:numPr>
          <w:ilvl w:val="1"/>
          <w:numId w:val="33"/>
        </w:numPr>
        <w:spacing w:after="60" w:line="240" w:lineRule="auto"/>
        <w:contextualSpacing/>
        <w:rPr>
          <w:rFonts w:cstheme="minorHAnsi"/>
        </w:rPr>
      </w:pPr>
      <w:r w:rsidRPr="00E9270A">
        <w:rPr>
          <w:highlight w:val="lightGray"/>
        </w:rPr>
        <w:t xml:space="preserve">MRI findings suggest highly active or aggressive </w:t>
      </w:r>
      <w:r w:rsidR="00D94132">
        <w:rPr>
          <w:highlight w:val="lightGray"/>
        </w:rPr>
        <w:t>MS</w:t>
      </w:r>
      <w:r w:rsidRPr="00E9270A">
        <w:rPr>
          <w:highlight w:val="lightGray"/>
        </w:rPr>
        <w:t xml:space="preserve"> (for example, new, enlarging, or a high burden of T2 lesions or gadolinium enhancing lesions</w:t>
      </w:r>
    </w:p>
    <w:p w14:paraId="6858B4C7" w14:textId="51E79107" w:rsidR="008A4461" w:rsidRPr="008A4461" w:rsidRDefault="008A4461" w:rsidP="008A4461">
      <w:pPr>
        <w:numPr>
          <w:ilvl w:val="1"/>
          <w:numId w:val="33"/>
        </w:numPr>
        <w:spacing w:after="60" w:line="240" w:lineRule="auto"/>
        <w:contextualSpacing/>
        <w:rPr>
          <w:rFonts w:cstheme="minorHAnsi"/>
        </w:rPr>
      </w:pPr>
      <w:r w:rsidRPr="00E9270A">
        <w:rPr>
          <w:highlight w:val="lightGray"/>
        </w:rPr>
        <w:t>Documentation of cognitive impairment related to MS (for example, deficits in short-term or long-term memory, visual spatial ability deficits)]</w:t>
      </w:r>
    </w:p>
    <w:p w14:paraId="0C9EA3C7" w14:textId="751C4BB7" w:rsidR="00797E6D" w:rsidRPr="007576B6" w:rsidRDefault="00797E6D" w:rsidP="00797E6D">
      <w:pPr>
        <w:numPr>
          <w:ilvl w:val="0"/>
          <w:numId w:val="10"/>
        </w:numPr>
        <w:spacing w:after="60" w:line="240" w:lineRule="auto"/>
        <w:contextualSpacing/>
        <w:rPr>
          <w:rFonts w:cstheme="minorHAnsi"/>
        </w:rPr>
      </w:pPr>
      <w:r w:rsidRPr="007576B6">
        <w:rPr>
          <w:rFonts w:cstheme="minorHAnsi"/>
          <w:highlight w:val="lightGray"/>
        </w:rPr>
        <w:fldChar w:fldCharType="begin">
          <w:ffData>
            <w:name w:val=""/>
            <w:enabled/>
            <w:calcOnExit w:val="0"/>
            <w:textInput>
              <w:default w:val="[Physical disability]"/>
            </w:textInput>
          </w:ffData>
        </w:fldChar>
      </w:r>
      <w:r w:rsidRPr="007576B6">
        <w:rPr>
          <w:rFonts w:cstheme="minorHAnsi"/>
          <w:highlight w:val="lightGray"/>
        </w:rPr>
        <w:instrText xml:space="preserve"> FORMTEXT </w:instrText>
      </w:r>
      <w:r w:rsidRPr="007576B6">
        <w:rPr>
          <w:rFonts w:cstheme="minorHAnsi"/>
          <w:highlight w:val="lightGray"/>
        </w:rPr>
      </w:r>
      <w:r w:rsidRPr="007576B6">
        <w:rPr>
          <w:rFonts w:cstheme="minorHAnsi"/>
          <w:highlight w:val="lightGray"/>
        </w:rPr>
        <w:fldChar w:fldCharType="separate"/>
      </w:r>
      <w:r w:rsidRPr="007576B6">
        <w:rPr>
          <w:rFonts w:cstheme="minorHAnsi"/>
          <w:noProof/>
          <w:highlight w:val="lightGray"/>
        </w:rPr>
        <w:t xml:space="preserve">[Physical disability, including description and related test results (eg, </w:t>
      </w:r>
      <w:r>
        <w:rPr>
          <w:rFonts w:cstheme="minorHAnsi"/>
          <w:noProof/>
          <w:highlight w:val="lightGray"/>
        </w:rPr>
        <w:t>Expanded Disability Status Scale [</w:t>
      </w:r>
      <w:r w:rsidRPr="007576B6">
        <w:rPr>
          <w:rFonts w:cstheme="minorHAnsi"/>
          <w:noProof/>
          <w:highlight w:val="lightGray"/>
        </w:rPr>
        <w:t>EDSS</w:t>
      </w:r>
      <w:r>
        <w:rPr>
          <w:rFonts w:cstheme="minorHAnsi"/>
          <w:noProof/>
          <w:highlight w:val="lightGray"/>
        </w:rPr>
        <w:t xml:space="preserve">] </w:t>
      </w:r>
      <w:r w:rsidRPr="007576B6">
        <w:rPr>
          <w:rFonts w:cstheme="minorHAnsi"/>
          <w:noProof/>
          <w:highlight w:val="lightGray"/>
        </w:rPr>
        <w:t>score)]</w:t>
      </w:r>
      <w:r w:rsidRPr="007576B6">
        <w:rPr>
          <w:rFonts w:cstheme="minorHAnsi"/>
          <w:highlight w:val="lightGray"/>
        </w:rPr>
        <w:fldChar w:fldCharType="end"/>
      </w:r>
    </w:p>
    <w:p w14:paraId="3CFDD246" w14:textId="77777777" w:rsidR="00797E6D" w:rsidRPr="007576B6" w:rsidRDefault="00797E6D" w:rsidP="00797E6D">
      <w:pPr>
        <w:numPr>
          <w:ilvl w:val="0"/>
          <w:numId w:val="10"/>
        </w:numPr>
        <w:spacing w:after="60" w:line="240" w:lineRule="auto"/>
        <w:contextualSpacing/>
        <w:rPr>
          <w:rFonts w:cstheme="minorHAnsi"/>
        </w:rPr>
      </w:pPr>
      <w:r w:rsidRPr="007576B6">
        <w:rPr>
          <w:rFonts w:cstheme="minorHAnsi"/>
          <w:highlight w:val="lightGray"/>
        </w:rPr>
        <w:fldChar w:fldCharType="begin">
          <w:ffData>
            <w:name w:val=""/>
            <w:enabled/>
            <w:calcOnExit w:val="0"/>
            <w:textInput>
              <w:default w:val="[Relapse]"/>
            </w:textInput>
          </w:ffData>
        </w:fldChar>
      </w:r>
      <w:r w:rsidRPr="007576B6">
        <w:rPr>
          <w:rFonts w:cstheme="minorHAnsi"/>
          <w:highlight w:val="lightGray"/>
        </w:rPr>
        <w:instrText xml:space="preserve"> FORMTEXT </w:instrText>
      </w:r>
      <w:r w:rsidRPr="007576B6">
        <w:rPr>
          <w:rFonts w:cstheme="minorHAnsi"/>
          <w:highlight w:val="lightGray"/>
        </w:rPr>
      </w:r>
      <w:r w:rsidRPr="007576B6">
        <w:rPr>
          <w:rFonts w:cstheme="minorHAnsi"/>
          <w:highlight w:val="lightGray"/>
        </w:rPr>
        <w:fldChar w:fldCharType="separate"/>
      </w:r>
      <w:r w:rsidRPr="007576B6">
        <w:rPr>
          <w:rFonts w:cstheme="minorHAnsi"/>
          <w:noProof/>
          <w:highlight w:val="lightGray"/>
        </w:rPr>
        <w:t>[History of relapse(s), including dates and symptoms]</w:t>
      </w:r>
      <w:r w:rsidRPr="007576B6">
        <w:rPr>
          <w:rFonts w:cstheme="minorHAnsi"/>
          <w:highlight w:val="lightGray"/>
        </w:rPr>
        <w:fldChar w:fldCharType="end"/>
      </w:r>
      <w:r w:rsidRPr="007576B6">
        <w:rPr>
          <w:rFonts w:cstheme="minorHAnsi"/>
        </w:rPr>
        <w:t xml:space="preserve">  </w:t>
      </w:r>
    </w:p>
    <w:p w14:paraId="70789E1E" w14:textId="102758D4" w:rsidR="00797E6D" w:rsidRDefault="00797E6D" w:rsidP="00797E6D">
      <w:pPr>
        <w:numPr>
          <w:ilvl w:val="0"/>
          <w:numId w:val="10"/>
        </w:numPr>
        <w:spacing w:after="60" w:line="240" w:lineRule="auto"/>
        <w:contextualSpacing/>
        <w:rPr>
          <w:rFonts w:cstheme="minorHAnsi"/>
        </w:rPr>
      </w:pPr>
      <w:r w:rsidRPr="00076CAA">
        <w:rPr>
          <w:rFonts w:cstheme="minorHAnsi"/>
          <w:highlight w:val="lightGray"/>
        </w:rPr>
        <w:t>[</w:t>
      </w:r>
      <w:r w:rsidRPr="007576B6">
        <w:rPr>
          <w:rFonts w:cstheme="minorHAnsi"/>
          <w:highlight w:val="lightGray"/>
        </w:rPr>
        <w:t>Pertinent laboratory values]</w:t>
      </w:r>
    </w:p>
    <w:p w14:paraId="5E56EB2B" w14:textId="2D3B1765" w:rsidR="00797E6D" w:rsidRPr="007F41D2" w:rsidRDefault="00797E6D" w:rsidP="00797E6D">
      <w:pPr>
        <w:numPr>
          <w:ilvl w:val="0"/>
          <w:numId w:val="10"/>
        </w:numPr>
        <w:spacing w:after="60" w:line="240" w:lineRule="auto"/>
        <w:contextualSpacing/>
        <w:rPr>
          <w:rFonts w:cstheme="minorHAnsi"/>
        </w:rPr>
      </w:pPr>
      <w:r w:rsidRPr="007F41D2">
        <w:rPr>
          <w:rFonts w:cstheme="minorHAnsi"/>
          <w:highlight w:val="lightGray"/>
        </w:rPr>
        <w:t xml:space="preserve">[Other pertinent clinical data indicating response to </w:t>
      </w:r>
      <w:r w:rsidR="00CE4C46">
        <w:rPr>
          <w:rFonts w:cstheme="minorHAnsi"/>
          <w:highlight w:val="lightGray"/>
        </w:rPr>
        <w:t>TYSABRI</w:t>
      </w:r>
      <w:r w:rsidRPr="007F41D2">
        <w:rPr>
          <w:rFonts w:cstheme="minorHAnsi"/>
          <w:highlight w:val="lightGray"/>
        </w:rPr>
        <w:t xml:space="preserve"> treatment, such as</w:t>
      </w:r>
    </w:p>
    <w:p w14:paraId="4788BDA4" w14:textId="77777777" w:rsidR="00797E6D" w:rsidRPr="009E2598" w:rsidRDefault="00797E6D" w:rsidP="00797E6D">
      <w:pPr>
        <w:numPr>
          <w:ilvl w:val="1"/>
          <w:numId w:val="10"/>
        </w:numPr>
        <w:spacing w:after="60" w:line="240" w:lineRule="auto"/>
        <w:contextualSpacing/>
        <w:rPr>
          <w:rFonts w:cstheme="minorHAnsi"/>
          <w:highlight w:val="lightGray"/>
        </w:rPr>
      </w:pPr>
      <w:r w:rsidRPr="009E2598">
        <w:rPr>
          <w:rFonts w:cstheme="minorHAnsi"/>
          <w:highlight w:val="lightGray"/>
        </w:rPr>
        <w:t xml:space="preserve">Experienced stabilization, slowed progression, or improvement in at least </w:t>
      </w:r>
      <w:r>
        <w:rPr>
          <w:rFonts w:cstheme="minorHAnsi"/>
          <w:highlight w:val="lightGray"/>
        </w:rPr>
        <w:t>1</w:t>
      </w:r>
      <w:r w:rsidRPr="009E2598">
        <w:rPr>
          <w:rFonts w:cstheme="minorHAnsi"/>
          <w:highlight w:val="lightGray"/>
        </w:rPr>
        <w:t xml:space="preserve"> symptom such as motor function, fatigue, vision, bowel/bladder function, spasticity, walking/gait, or pain/numbness/tingling sensation</w:t>
      </w:r>
      <w:r w:rsidRPr="00076CAA">
        <w:rPr>
          <w:rFonts w:cstheme="minorHAnsi"/>
          <w:highlight w:val="lightGray"/>
        </w:rPr>
        <w:t>]</w:t>
      </w:r>
    </w:p>
    <w:p w14:paraId="63E0216E" w14:textId="491C59D6" w:rsidR="00797E6D" w:rsidRPr="0006754A" w:rsidRDefault="00797E6D" w:rsidP="00797E6D">
      <w:pPr>
        <w:spacing w:after="0" w:line="240" w:lineRule="auto"/>
        <w:rPr>
          <w:rFonts w:cstheme="minorHAnsi"/>
        </w:rPr>
      </w:pPr>
    </w:p>
    <w:p w14:paraId="5DEC4174" w14:textId="2EAB9982" w:rsidR="008A4461" w:rsidRPr="006F5EC0" w:rsidRDefault="008A4461" w:rsidP="00982A56">
      <w:pPr>
        <w:keepNext/>
        <w:spacing w:after="0" w:line="240" w:lineRule="auto"/>
        <w:rPr>
          <w:rFonts w:cstheme="minorHAnsi"/>
        </w:rPr>
      </w:pPr>
      <w:r w:rsidRPr="005359FE">
        <w:rPr>
          <w:rFonts w:cstheme="minorHAnsi"/>
          <w:highlight w:val="lightGray"/>
        </w:rPr>
        <w:lastRenderedPageBreak/>
        <w:t xml:space="preserve">[HCP to insert the reasons for recommendation to use </w:t>
      </w:r>
      <w:r>
        <w:rPr>
          <w:rFonts w:cstheme="minorHAnsi"/>
          <w:highlight w:val="lightGray"/>
        </w:rPr>
        <w:t>TYSABRI</w:t>
      </w:r>
      <w:r w:rsidRPr="005359FE">
        <w:rPr>
          <w:rFonts w:cstheme="minorHAnsi"/>
          <w:highlight w:val="lightGray"/>
        </w:rPr>
        <w:t>, which may include:]</w:t>
      </w:r>
      <w:r w:rsidRPr="006F5EC0">
        <w:rPr>
          <w:rFonts w:cstheme="minorHAnsi"/>
        </w:rPr>
        <w:t xml:space="preserve"> </w:t>
      </w:r>
    </w:p>
    <w:p w14:paraId="4B97ED36" w14:textId="5F92E244" w:rsidR="008A4461" w:rsidRPr="00E9270A" w:rsidRDefault="008A4461" w:rsidP="008A4461">
      <w:pPr>
        <w:numPr>
          <w:ilvl w:val="0"/>
          <w:numId w:val="31"/>
        </w:numPr>
        <w:tabs>
          <w:tab w:val="left" w:pos="720"/>
        </w:tabs>
        <w:spacing w:after="0" w:line="240" w:lineRule="auto"/>
        <w:contextualSpacing/>
        <w:rPr>
          <w:rFonts w:cstheme="minorHAnsi"/>
        </w:rPr>
      </w:pPr>
      <w:r w:rsidRPr="00E9270A">
        <w:rPr>
          <w:rFonts w:cstheme="minorHAnsi"/>
          <w:highlight w:val="lightGray"/>
        </w:rPr>
        <w:t>[Reason(s) TYSABRI is most appropriate for this patient, such as efficacy, safety and tolerability profile of this product, pharmacokinetic profile, dosage, and/or route of administration. Please see below for a summary of some key clinical data to support the use of TYSABRI. However, please also consider including other relevant clinical data specific to your patient:</w:t>
      </w:r>
      <w:r w:rsidRPr="00E9270A">
        <w:rPr>
          <w:rFonts w:cstheme="minorHAnsi"/>
        </w:rPr>
        <w:t xml:space="preserve"> </w:t>
      </w:r>
    </w:p>
    <w:p w14:paraId="268E6CCE" w14:textId="6B375496" w:rsidR="00C3092B" w:rsidRPr="004267BD" w:rsidRDefault="00C3092B" w:rsidP="00C3092B">
      <w:pPr>
        <w:numPr>
          <w:ilvl w:val="1"/>
          <w:numId w:val="31"/>
        </w:numPr>
        <w:spacing w:after="0" w:line="240" w:lineRule="auto"/>
        <w:contextualSpacing/>
        <w:rPr>
          <w:rFonts w:cstheme="minorHAnsi"/>
        </w:rPr>
      </w:pPr>
      <w:r w:rsidRPr="00E9270A">
        <w:rPr>
          <w:rFonts w:cstheme="minorHAnsi"/>
          <w:highlight w:val="lightGray"/>
        </w:rPr>
        <w:t>In the 2-year AFFIRM trial, more than 80% of people treated with TYSABRI had no progression of disability, compared to 71% taking placebo.</w:t>
      </w:r>
      <w:r>
        <w:rPr>
          <w:rFonts w:cstheme="minorHAnsi"/>
          <w:highlight w:val="lightGray"/>
          <w:vertAlign w:val="superscript"/>
        </w:rPr>
        <w:t>2</w:t>
      </w:r>
      <w:r w:rsidRPr="00E9270A">
        <w:rPr>
          <w:rFonts w:cstheme="minorHAnsi"/>
          <w:highlight w:val="lightGray"/>
        </w:rPr>
        <w:t xml:space="preserve"> As well, nearly 70% of people treated with TYSABRI had remained relapse free, compared to 41% taking</w:t>
      </w:r>
      <w:r w:rsidRPr="00E9270A">
        <w:rPr>
          <w:rFonts w:cstheme="minorHAnsi"/>
          <w:b/>
          <w:bCs/>
          <w:highlight w:val="lightGray"/>
        </w:rPr>
        <w:t xml:space="preserve"> </w:t>
      </w:r>
      <w:r w:rsidRPr="00E9270A">
        <w:rPr>
          <w:rFonts w:cstheme="minorHAnsi"/>
          <w:highlight w:val="lightGray"/>
        </w:rPr>
        <w:t>placebo.</w:t>
      </w:r>
      <w:r>
        <w:rPr>
          <w:rFonts w:cstheme="minorHAnsi"/>
          <w:highlight w:val="lightGray"/>
          <w:vertAlign w:val="superscript"/>
        </w:rPr>
        <w:t>2</w:t>
      </w:r>
      <w:r w:rsidRPr="00E9270A">
        <w:rPr>
          <w:rFonts w:cstheme="minorHAnsi"/>
          <w:highlight w:val="lightGray"/>
        </w:rPr>
        <w:t xml:space="preserve"> 97% of people treated with TYSABRI had no new Gd+ lesions that showed disease activity on an MRI, compared with 72% taking placebo</w:t>
      </w:r>
      <w:r w:rsidRPr="00C41F11">
        <w:rPr>
          <w:rFonts w:cstheme="minorHAnsi"/>
          <w:highlight w:val="lightGray"/>
          <w:vertAlign w:val="superscript"/>
        </w:rPr>
        <w:t>2</w:t>
      </w:r>
      <w:r w:rsidRPr="004267BD">
        <w:rPr>
          <w:rFonts w:cstheme="minorHAnsi"/>
        </w:rPr>
        <w:t xml:space="preserve"> </w:t>
      </w:r>
    </w:p>
    <w:p w14:paraId="40F0F0DB" w14:textId="2A4FFDF5" w:rsidR="00C3092B" w:rsidRPr="004267BD" w:rsidRDefault="00C3092B" w:rsidP="00C3092B">
      <w:pPr>
        <w:numPr>
          <w:ilvl w:val="1"/>
          <w:numId w:val="31"/>
        </w:numPr>
        <w:spacing w:after="0" w:line="240" w:lineRule="auto"/>
        <w:contextualSpacing/>
        <w:rPr>
          <w:rFonts w:cstheme="minorHAnsi"/>
        </w:rPr>
      </w:pPr>
      <w:r w:rsidRPr="00E9270A">
        <w:rPr>
          <w:rFonts w:cstheme="minorHAnsi"/>
          <w:highlight w:val="lightGray"/>
        </w:rPr>
        <w:t>Efficacy was seen as early as Day 42</w:t>
      </w:r>
      <w:r w:rsidR="008B088B">
        <w:rPr>
          <w:rFonts w:cstheme="minorHAnsi"/>
          <w:highlight w:val="lightGray"/>
        </w:rPr>
        <w:t xml:space="preserve"> in</w:t>
      </w:r>
      <w:r w:rsidRPr="00E9270A">
        <w:rPr>
          <w:rFonts w:cstheme="minorHAnsi"/>
          <w:highlight w:val="lightGray"/>
        </w:rPr>
        <w:t xml:space="preserve"> </w:t>
      </w:r>
      <w:r w:rsidR="008B088B">
        <w:rPr>
          <w:rFonts w:cstheme="minorHAnsi"/>
          <w:highlight w:val="lightGray"/>
        </w:rPr>
        <w:t xml:space="preserve">a post-hoc analysis of </w:t>
      </w:r>
      <w:r w:rsidR="008B088B" w:rsidRPr="00E9270A">
        <w:rPr>
          <w:rFonts w:cstheme="minorHAnsi"/>
          <w:highlight w:val="lightGray"/>
        </w:rPr>
        <w:t xml:space="preserve">AFFIRM </w:t>
      </w:r>
      <w:r w:rsidR="008B088B">
        <w:rPr>
          <w:rFonts w:cstheme="minorHAnsi"/>
          <w:highlight w:val="lightGray"/>
        </w:rPr>
        <w:t>data</w:t>
      </w:r>
      <w:r w:rsidRPr="00E9270A">
        <w:rPr>
          <w:rFonts w:cstheme="minorHAnsi"/>
          <w:highlight w:val="lightGray"/>
        </w:rPr>
        <w:t xml:space="preserve">, with patients treated with TYSBARI having a 5.4% risk of relapse, compared with 9.3% with placebo </w:t>
      </w:r>
      <w:r w:rsidRPr="00E9270A">
        <w:rPr>
          <w:rFonts w:cstheme="minorHAnsi"/>
          <w:highlight w:val="lightGray"/>
          <w:lang w:val="it-IT"/>
        </w:rPr>
        <w:t>(HR: 0.56, 95% CI: 0.34-0.93)</w:t>
      </w:r>
      <w:r w:rsidRPr="00C41F11">
        <w:rPr>
          <w:rFonts w:cstheme="minorHAnsi"/>
          <w:highlight w:val="lightGray"/>
          <w:vertAlign w:val="superscript"/>
          <w:lang w:val="it-IT"/>
        </w:rPr>
        <w:t>3</w:t>
      </w:r>
      <w:r w:rsidRPr="004267BD">
        <w:rPr>
          <w:rFonts w:cstheme="minorHAnsi"/>
          <w:lang w:val="it-IT"/>
        </w:rPr>
        <w:t xml:space="preserve"> </w:t>
      </w:r>
    </w:p>
    <w:p w14:paraId="7654C91D" w14:textId="279739F0" w:rsidR="00C3092B" w:rsidRPr="004267BD" w:rsidRDefault="00C3092B" w:rsidP="00C3092B">
      <w:pPr>
        <w:numPr>
          <w:ilvl w:val="1"/>
          <w:numId w:val="31"/>
        </w:numPr>
        <w:spacing w:after="0" w:line="240" w:lineRule="auto"/>
        <w:contextualSpacing/>
        <w:rPr>
          <w:rFonts w:cstheme="minorHAnsi"/>
        </w:rPr>
      </w:pPr>
      <w:r w:rsidRPr="004267BD">
        <w:rPr>
          <w:rFonts w:cstheme="minorHAnsi"/>
          <w:highlight w:val="lightGray"/>
        </w:rPr>
        <w:t>In the 10</w:t>
      </w:r>
      <w:r w:rsidRPr="00E9270A">
        <w:rPr>
          <w:rFonts w:cstheme="minorHAnsi"/>
          <w:highlight w:val="lightGray"/>
        </w:rPr>
        <w:t xml:space="preserve">-year TOP trial, TYSABRI reduced relapses by 88% in </w:t>
      </w:r>
      <w:r w:rsidR="008B088B">
        <w:rPr>
          <w:rFonts w:cstheme="minorHAnsi"/>
          <w:highlight w:val="lightGray"/>
        </w:rPr>
        <w:t>Y</w:t>
      </w:r>
      <w:r w:rsidRPr="00E9270A">
        <w:rPr>
          <w:rFonts w:cstheme="minorHAnsi"/>
          <w:highlight w:val="lightGray"/>
        </w:rPr>
        <w:t>ear 1 with low ARRs (≤0.</w:t>
      </w:r>
      <w:r w:rsidR="008B088B" w:rsidRPr="008B088B">
        <w:rPr>
          <w:rFonts w:cstheme="minorHAnsi"/>
          <w:highlight w:val="lightGray"/>
        </w:rPr>
        <w:t xml:space="preserve"> </w:t>
      </w:r>
      <w:r w:rsidR="008B088B" w:rsidRPr="00E9270A">
        <w:rPr>
          <w:rFonts w:cstheme="minorHAnsi"/>
          <w:highlight w:val="lightGray"/>
        </w:rPr>
        <w:t>2</w:t>
      </w:r>
      <w:r w:rsidR="008B088B">
        <w:rPr>
          <w:rFonts w:cstheme="minorHAnsi"/>
          <w:highlight w:val="lightGray"/>
        </w:rPr>
        <w:t>0</w:t>
      </w:r>
      <w:r w:rsidRPr="00E9270A">
        <w:rPr>
          <w:rFonts w:cstheme="minorHAnsi"/>
          <w:highlight w:val="lightGray"/>
        </w:rPr>
        <w:t>) sustained out to 10 years.</w:t>
      </w:r>
      <w:r>
        <w:rPr>
          <w:rFonts w:cstheme="minorHAnsi"/>
          <w:highlight w:val="lightGray"/>
          <w:vertAlign w:val="superscript"/>
        </w:rPr>
        <w:t>2</w:t>
      </w:r>
      <w:r w:rsidRPr="00E9270A">
        <w:rPr>
          <w:rFonts w:cstheme="minorHAnsi"/>
          <w:highlight w:val="lightGray"/>
        </w:rPr>
        <w:t xml:space="preserve"> Additionally, the median EDSS scores were </w:t>
      </w:r>
      <w:r w:rsidRPr="004267BD">
        <w:rPr>
          <w:rFonts w:cstheme="minorHAnsi"/>
          <w:highlight w:val="lightGray"/>
        </w:rPr>
        <w:t>stable across 10 years with TYSABR</w:t>
      </w:r>
      <w:r w:rsidRPr="008A4461">
        <w:rPr>
          <w:rFonts w:cstheme="minorHAnsi"/>
          <w:highlight w:val="lightGray"/>
        </w:rPr>
        <w:t>I</w:t>
      </w:r>
      <w:r w:rsidRPr="00C41F11">
        <w:rPr>
          <w:rFonts w:cstheme="minorHAnsi"/>
          <w:highlight w:val="lightGray"/>
          <w:vertAlign w:val="superscript"/>
        </w:rPr>
        <w:t>4</w:t>
      </w:r>
    </w:p>
    <w:p w14:paraId="2DB44949" w14:textId="0B6E716D" w:rsidR="00C3092B" w:rsidRPr="00E9270A" w:rsidRDefault="00C3092B" w:rsidP="00C3092B">
      <w:pPr>
        <w:numPr>
          <w:ilvl w:val="1"/>
          <w:numId w:val="31"/>
        </w:numPr>
        <w:spacing w:after="0" w:line="240" w:lineRule="auto"/>
        <w:contextualSpacing/>
        <w:rPr>
          <w:rFonts w:cstheme="minorHAnsi"/>
        </w:rPr>
      </w:pPr>
      <w:r w:rsidRPr="00E9270A">
        <w:rPr>
          <w:rFonts w:cstheme="minorHAnsi"/>
          <w:highlight w:val="lightGray"/>
        </w:rPr>
        <w:t>In the 10-year TOP trial, no new safety concerns were identified over 10 years.</w:t>
      </w:r>
      <w:r>
        <w:rPr>
          <w:rFonts w:cstheme="minorHAnsi"/>
          <w:highlight w:val="lightGray"/>
          <w:vertAlign w:val="superscript"/>
        </w:rPr>
        <w:t>4</w:t>
      </w:r>
      <w:r w:rsidRPr="00E9270A">
        <w:rPr>
          <w:rFonts w:cstheme="minorHAnsi"/>
          <w:highlight w:val="lightGray"/>
          <w:vertAlign w:val="superscript"/>
        </w:rPr>
        <w:t xml:space="preserve"> </w:t>
      </w:r>
      <w:r w:rsidRPr="00E9270A">
        <w:rPr>
          <w:rFonts w:cstheme="minorHAnsi"/>
          <w:highlight w:val="lightGray"/>
        </w:rPr>
        <w:t xml:space="preserve">Additionally, in the </w:t>
      </w:r>
      <w:r w:rsidRPr="00E9270A">
        <w:rPr>
          <w:rFonts w:cstheme="minorHAnsi"/>
          <w:highlight w:val="lightGray"/>
        </w:rPr>
        <w:br/>
        <w:t xml:space="preserve">5-year TYGRIS trial, rates of opportunistic infections and malignancies in patients taking TYSABRI were </w:t>
      </w:r>
      <w:proofErr w:type="gramStart"/>
      <w:r w:rsidRPr="00E9270A">
        <w:rPr>
          <w:rFonts w:cstheme="minorHAnsi"/>
          <w:highlight w:val="lightGray"/>
        </w:rPr>
        <w:t>low</w:t>
      </w:r>
      <w:proofErr w:type="gramEnd"/>
      <w:r w:rsidRPr="00E9270A">
        <w:rPr>
          <w:rFonts w:cstheme="minorHAnsi"/>
          <w:highlight w:val="lightGray"/>
        </w:rPr>
        <w:t xml:space="preserve"> </w:t>
      </w:r>
      <w:r w:rsidR="008B088B" w:rsidRPr="00E9270A">
        <w:rPr>
          <w:rFonts w:cstheme="minorHAnsi"/>
          <w:highlight w:val="lightGray"/>
        </w:rPr>
        <w:t>and</w:t>
      </w:r>
      <w:r w:rsidR="008B088B">
        <w:rPr>
          <w:rFonts w:cstheme="minorHAnsi"/>
          <w:highlight w:val="lightGray"/>
        </w:rPr>
        <w:t xml:space="preserve"> rates of malignancies were similar to the general </w:t>
      </w:r>
      <w:r w:rsidR="008B088B" w:rsidRPr="00E9270A">
        <w:rPr>
          <w:rFonts w:cstheme="minorHAnsi"/>
          <w:highlight w:val="lightGray"/>
        </w:rPr>
        <w:t>population</w:t>
      </w:r>
      <w:r w:rsidR="008B088B" w:rsidRPr="00C41F11">
        <w:rPr>
          <w:rFonts w:cstheme="minorHAnsi"/>
          <w:highlight w:val="lightGray"/>
          <w:vertAlign w:val="superscript"/>
        </w:rPr>
        <w:t>5</w:t>
      </w:r>
      <w:r w:rsidR="008B088B" w:rsidRPr="00C41F11">
        <w:rPr>
          <w:rFonts w:cstheme="minorHAnsi"/>
          <w:vertAlign w:val="superscript"/>
        </w:rPr>
        <w:t xml:space="preserve"> </w:t>
      </w:r>
    </w:p>
    <w:p w14:paraId="786C30C9" w14:textId="6289ED2F" w:rsidR="00C3092B" w:rsidRPr="004267BD" w:rsidRDefault="00C3092B" w:rsidP="00C3092B">
      <w:pPr>
        <w:numPr>
          <w:ilvl w:val="1"/>
          <w:numId w:val="31"/>
        </w:numPr>
        <w:spacing w:after="0" w:line="240" w:lineRule="auto"/>
        <w:contextualSpacing/>
        <w:rPr>
          <w:rFonts w:cstheme="minorHAnsi"/>
        </w:rPr>
      </w:pPr>
      <w:r w:rsidRPr="004267BD">
        <w:rPr>
          <w:rFonts w:cstheme="minorHAnsi"/>
          <w:highlight w:val="lightGray"/>
        </w:rPr>
        <w:t>In the MS PATHS observational study, over 88% of patients treated with TYSABRI improved or remained stable across 12 different Neuro-QoL domains assesse</w:t>
      </w:r>
      <w:r w:rsidRPr="008A4461">
        <w:rPr>
          <w:rFonts w:cstheme="minorHAnsi"/>
          <w:highlight w:val="lightGray"/>
        </w:rPr>
        <w:t>d</w:t>
      </w:r>
      <w:r w:rsidRPr="008A4461">
        <w:rPr>
          <w:rFonts w:cstheme="minorHAnsi"/>
          <w:highlight w:val="lightGray"/>
          <w:vertAlign w:val="superscript"/>
        </w:rPr>
        <w:t>6</w:t>
      </w:r>
      <w:r w:rsidRPr="004267BD">
        <w:rPr>
          <w:rFonts w:cstheme="minorHAnsi"/>
        </w:rPr>
        <w:t xml:space="preserve"> </w:t>
      </w:r>
    </w:p>
    <w:p w14:paraId="699882DB" w14:textId="55B3E1A1" w:rsidR="00C3092B" w:rsidRPr="004267BD" w:rsidRDefault="00C3092B" w:rsidP="00C3092B">
      <w:pPr>
        <w:numPr>
          <w:ilvl w:val="1"/>
          <w:numId w:val="31"/>
        </w:numPr>
        <w:spacing w:after="0" w:line="240" w:lineRule="auto"/>
        <w:contextualSpacing/>
        <w:rPr>
          <w:rFonts w:cstheme="minorHAnsi"/>
        </w:rPr>
      </w:pPr>
      <w:r w:rsidRPr="004267BD">
        <w:rPr>
          <w:rFonts w:cstheme="minorHAnsi"/>
          <w:highlight w:val="lightGray"/>
        </w:rPr>
        <w:t xml:space="preserve">The risk of developing PML while on treatment is &lt;1% regardless of JCV </w:t>
      </w:r>
      <w:proofErr w:type="gramStart"/>
      <w:r w:rsidR="008B088B">
        <w:rPr>
          <w:rFonts w:cstheme="minorHAnsi"/>
          <w:highlight w:val="lightGray"/>
        </w:rPr>
        <w:t xml:space="preserve">antibody </w:t>
      </w:r>
      <w:r w:rsidR="008B088B" w:rsidRPr="004267BD">
        <w:rPr>
          <w:rFonts w:cstheme="minorHAnsi"/>
          <w:highlight w:val="lightGray"/>
        </w:rPr>
        <w:t xml:space="preserve"> </w:t>
      </w:r>
      <w:r w:rsidRPr="004267BD">
        <w:rPr>
          <w:rFonts w:cstheme="minorHAnsi"/>
          <w:highlight w:val="lightGray"/>
        </w:rPr>
        <w:t>status</w:t>
      </w:r>
      <w:proofErr w:type="gramEnd"/>
      <w:r w:rsidRPr="004267BD">
        <w:rPr>
          <w:rFonts w:cstheme="minorHAnsi"/>
          <w:highlight w:val="lightGray"/>
        </w:rPr>
        <w:t>. Active infection by JCV is required for the development of PML.</w:t>
      </w:r>
      <w:r w:rsidRPr="004267BD">
        <w:rPr>
          <w:rFonts w:cstheme="minorHAnsi"/>
          <w:highlight w:val="lightGray"/>
          <w:vertAlign w:val="superscript"/>
        </w:rPr>
        <w:t>1,</w:t>
      </w:r>
      <w:r>
        <w:rPr>
          <w:rFonts w:cstheme="minorHAnsi"/>
          <w:highlight w:val="lightGray"/>
          <w:vertAlign w:val="superscript"/>
        </w:rPr>
        <w:t>4</w:t>
      </w:r>
      <w:r w:rsidRPr="004267BD">
        <w:rPr>
          <w:rFonts w:cstheme="minorHAnsi"/>
          <w:highlight w:val="lightGray"/>
        </w:rPr>
        <w:t xml:space="preserve"> PML risk in patients who are positive for anti-JCV antibodies can be further stratified by treatment duration and prior immunosuppressant use.</w:t>
      </w:r>
      <w:r>
        <w:rPr>
          <w:rFonts w:cstheme="minorHAnsi"/>
          <w:highlight w:val="lightGray"/>
          <w:vertAlign w:val="superscript"/>
        </w:rPr>
        <w:t>1</w:t>
      </w:r>
      <w:r w:rsidRPr="004267BD">
        <w:rPr>
          <w:rFonts w:cstheme="minorHAnsi"/>
          <w:highlight w:val="lightGray"/>
        </w:rPr>
        <w:t xml:space="preserve"> There is no restriction on duration of treatment specifically regarding PML risk with TYSABR</w:t>
      </w:r>
      <w:r w:rsidRPr="008A4461">
        <w:rPr>
          <w:rFonts w:cstheme="minorHAnsi"/>
          <w:highlight w:val="lightGray"/>
        </w:rPr>
        <w:t>I</w:t>
      </w:r>
      <w:r w:rsidRPr="008A4461">
        <w:rPr>
          <w:rFonts w:cstheme="minorHAnsi"/>
          <w:highlight w:val="lightGray"/>
          <w:vertAlign w:val="superscript"/>
        </w:rPr>
        <w:t>1</w:t>
      </w:r>
    </w:p>
    <w:p w14:paraId="1AE104DF" w14:textId="7D774E64" w:rsidR="00C3092B" w:rsidRPr="004267BD" w:rsidRDefault="00C3092B" w:rsidP="00C3092B">
      <w:pPr>
        <w:numPr>
          <w:ilvl w:val="1"/>
          <w:numId w:val="31"/>
        </w:numPr>
        <w:spacing w:after="0" w:line="240" w:lineRule="auto"/>
        <w:contextualSpacing/>
        <w:rPr>
          <w:rFonts w:cstheme="minorHAnsi"/>
        </w:rPr>
      </w:pPr>
      <w:r w:rsidRPr="004267BD">
        <w:rPr>
          <w:rFonts w:cstheme="minorHAnsi"/>
          <w:highlight w:val="lightGray"/>
        </w:rPr>
        <w:t>Biogen provides free STRATIFY JCV™ Antibody Testing to support safe use of TYSABRI. STRATIFY JCV Antibody Testing has been used by neurologists for more than 10 years as a clinical decision-making tool for patients on or considering TYSABRI. STRATIFY JCV Antibody testing is offered as frequently as requested by providers to ensure safe administration of TYSABRI</w:t>
      </w:r>
    </w:p>
    <w:p w14:paraId="45849569" w14:textId="4BCF9506" w:rsidR="00C3092B" w:rsidRDefault="00C3092B" w:rsidP="00C3092B">
      <w:pPr>
        <w:numPr>
          <w:ilvl w:val="1"/>
          <w:numId w:val="31"/>
        </w:numPr>
        <w:spacing w:after="0" w:line="240" w:lineRule="auto"/>
        <w:contextualSpacing/>
        <w:rPr>
          <w:rFonts w:cstheme="minorHAnsi"/>
        </w:rPr>
      </w:pPr>
      <w:r w:rsidRPr="004267BD">
        <w:rPr>
          <w:rFonts w:cstheme="minorHAnsi"/>
          <w:highlight w:val="lightGray"/>
        </w:rPr>
        <w:t xml:space="preserve">TYSABRI has more than 15 years of </w:t>
      </w:r>
      <w:r w:rsidR="008B088B">
        <w:rPr>
          <w:rFonts w:cstheme="minorHAnsi"/>
          <w:highlight w:val="lightGray"/>
        </w:rPr>
        <w:t xml:space="preserve">clinical trial and </w:t>
      </w:r>
      <w:r w:rsidRPr="004267BD">
        <w:rPr>
          <w:rFonts w:cstheme="minorHAnsi"/>
          <w:highlight w:val="lightGray"/>
        </w:rPr>
        <w:t>real-world experience across 1 million+ patient-years, making it a proven safe and effective treatment for my patient</w:t>
      </w:r>
      <w:r>
        <w:rPr>
          <w:rFonts w:cstheme="minorHAnsi"/>
          <w:highlight w:val="lightGray"/>
          <w:vertAlign w:val="superscript"/>
        </w:rPr>
        <w:t>1</w:t>
      </w:r>
      <w:r w:rsidRPr="004267BD">
        <w:rPr>
          <w:rFonts w:cstheme="minorHAnsi"/>
          <w:highlight w:val="lightGray"/>
          <w:vertAlign w:val="superscript"/>
        </w:rPr>
        <w:t>,7</w:t>
      </w:r>
      <w:r w:rsidRPr="004267BD">
        <w:rPr>
          <w:rFonts w:cstheme="minorHAnsi"/>
          <w:highlight w:val="lightGray"/>
        </w:rPr>
        <w:t>]</w:t>
      </w:r>
    </w:p>
    <w:p w14:paraId="723C415B" w14:textId="026B912F" w:rsidR="008A4461" w:rsidRPr="004267BD" w:rsidRDefault="008A4461" w:rsidP="008A4461">
      <w:pPr>
        <w:numPr>
          <w:ilvl w:val="0"/>
          <w:numId w:val="31"/>
        </w:numPr>
        <w:spacing w:after="0" w:line="240" w:lineRule="auto"/>
        <w:contextualSpacing/>
        <w:rPr>
          <w:rFonts w:cstheme="minorHAnsi"/>
        </w:rPr>
      </w:pPr>
      <w:r w:rsidRPr="004267BD">
        <w:rPr>
          <w:rFonts w:cstheme="minorHAnsi"/>
          <w:highlight w:val="lightGray"/>
        </w:rPr>
        <w:t>[Additional reason(s) why the use of TYSABRI is most appropriate for this patient based on medical history and comorbidities (heart disease, hypertension, liver disease, etc), breakthrough disease activity (including relapses and/or MRI brain lesions), EDSS history, MS treatments tried and failed, medication intolerance, contraindications/allergies to generic step medications, or changes in MS QoL assessment]</w:t>
      </w:r>
    </w:p>
    <w:p w14:paraId="53348FB5" w14:textId="50BDE3FD" w:rsidR="00CE4C46" w:rsidRDefault="00CE4C46" w:rsidP="00CE4C46">
      <w:pPr>
        <w:spacing w:after="0" w:line="240" w:lineRule="auto"/>
        <w:contextualSpacing/>
        <w:rPr>
          <w:rFonts w:cstheme="minorHAnsi"/>
          <w:highlight w:val="lightGray"/>
        </w:rPr>
      </w:pPr>
    </w:p>
    <w:p w14:paraId="23E8E1DE" w14:textId="372D15ED" w:rsidR="0098243F" w:rsidRDefault="0098243F" w:rsidP="0098243F">
      <w:pPr>
        <w:spacing w:after="0" w:line="240" w:lineRule="auto"/>
        <w:rPr>
          <w:rFonts w:cstheme="minorHAnsi"/>
        </w:rPr>
      </w:pPr>
      <w:r w:rsidRPr="00453D13">
        <w:rPr>
          <w:rFonts w:cstheme="minorHAnsi"/>
        </w:rPr>
        <w:t xml:space="preserve">Adherence and persistency to treatment are of utmost importance in MS. Consistency in the site of TYSABRI administration can help achieve patient goals and promote successful treatment. I am requesting for my patient to continue to receive TYSABRI at </w:t>
      </w:r>
      <w:r w:rsidR="008B15B5">
        <w:rPr>
          <w:rFonts w:cstheme="minorHAnsi"/>
          <w:highlight w:val="lightGray"/>
        </w:rPr>
        <w:t>[Name of Site</w:t>
      </w:r>
      <w:r w:rsidR="00AB4718">
        <w:rPr>
          <w:rFonts w:cstheme="minorHAnsi"/>
          <w:highlight w:val="lightGray"/>
        </w:rPr>
        <w:t>-</w:t>
      </w:r>
      <w:r w:rsidR="008B15B5">
        <w:rPr>
          <w:rFonts w:cstheme="minorHAnsi"/>
          <w:highlight w:val="lightGray"/>
        </w:rPr>
        <w:t>of</w:t>
      </w:r>
      <w:r w:rsidR="00AB4718">
        <w:rPr>
          <w:rFonts w:cstheme="minorHAnsi"/>
          <w:highlight w:val="lightGray"/>
        </w:rPr>
        <w:t>-</w:t>
      </w:r>
      <w:r w:rsidR="008B15B5">
        <w:rPr>
          <w:rFonts w:cstheme="minorHAnsi"/>
          <w:highlight w:val="lightGray"/>
        </w:rPr>
        <w:t>Care]</w:t>
      </w:r>
      <w:r w:rsidR="008B15B5">
        <w:rPr>
          <w:rFonts w:cstheme="minorHAnsi"/>
        </w:rPr>
        <w:t xml:space="preserve"> </w:t>
      </w:r>
      <w:r w:rsidRPr="00453D13">
        <w:rPr>
          <w:rFonts w:cstheme="minorHAnsi"/>
        </w:rPr>
        <w:t xml:space="preserve">rather than home infusion because in my clinical opinion, </w:t>
      </w:r>
      <w:r w:rsidR="008B15B5">
        <w:rPr>
          <w:rFonts w:cstheme="minorHAnsi"/>
          <w:highlight w:val="lightGray"/>
        </w:rPr>
        <w:t>[Name of Site</w:t>
      </w:r>
      <w:r w:rsidR="00AB4718">
        <w:rPr>
          <w:rFonts w:cstheme="minorHAnsi"/>
          <w:highlight w:val="lightGray"/>
        </w:rPr>
        <w:t>-</w:t>
      </w:r>
      <w:r w:rsidR="008B15B5">
        <w:rPr>
          <w:rFonts w:cstheme="minorHAnsi"/>
          <w:highlight w:val="lightGray"/>
        </w:rPr>
        <w:t>of</w:t>
      </w:r>
      <w:r w:rsidR="00AB4718">
        <w:rPr>
          <w:rFonts w:cstheme="minorHAnsi"/>
          <w:highlight w:val="lightGray"/>
        </w:rPr>
        <w:t>-</w:t>
      </w:r>
      <w:r w:rsidR="008B15B5">
        <w:rPr>
          <w:rFonts w:cstheme="minorHAnsi"/>
          <w:highlight w:val="lightGray"/>
        </w:rPr>
        <w:t>Care]</w:t>
      </w:r>
      <w:r w:rsidRPr="00453D13">
        <w:rPr>
          <w:rFonts w:cstheme="minorHAnsi"/>
        </w:rPr>
        <w:t xml:space="preserve"> is the most appropriate location.</w:t>
      </w:r>
    </w:p>
    <w:p w14:paraId="382DCB9A" w14:textId="4FF4F135" w:rsidR="0098243F" w:rsidRPr="00453D13" w:rsidRDefault="0098243F" w:rsidP="0098243F">
      <w:pPr>
        <w:pStyle w:val="ListParagraph"/>
        <w:numPr>
          <w:ilvl w:val="0"/>
          <w:numId w:val="36"/>
        </w:numPr>
        <w:spacing w:after="0" w:line="240" w:lineRule="auto"/>
        <w:rPr>
          <w:rFonts w:cstheme="minorHAnsi"/>
        </w:rPr>
      </w:pPr>
      <w:bookmarkStart w:id="4" w:name="_Hlk134604132"/>
      <w:r w:rsidRPr="00453D13">
        <w:rPr>
          <w:rFonts w:cstheme="minorHAnsi"/>
          <w:highlight w:val="lightGray"/>
        </w:rPr>
        <w:t>[HCP to insert the reasons for recommendation to use a</w:t>
      </w:r>
      <w:r w:rsidR="008B15B5">
        <w:rPr>
          <w:rFonts w:cstheme="minorHAnsi"/>
          <w:highlight w:val="lightGray"/>
        </w:rPr>
        <w:t>n alternative Site</w:t>
      </w:r>
      <w:r w:rsidR="00AB4718">
        <w:rPr>
          <w:rFonts w:cstheme="minorHAnsi"/>
          <w:highlight w:val="lightGray"/>
        </w:rPr>
        <w:t>-</w:t>
      </w:r>
      <w:r w:rsidR="008B15B5">
        <w:rPr>
          <w:rFonts w:cstheme="minorHAnsi"/>
          <w:highlight w:val="lightGray"/>
        </w:rPr>
        <w:t>of</w:t>
      </w:r>
      <w:r w:rsidR="00AB4718">
        <w:rPr>
          <w:rFonts w:cstheme="minorHAnsi"/>
          <w:highlight w:val="lightGray"/>
        </w:rPr>
        <w:t>-</w:t>
      </w:r>
      <w:r w:rsidR="008B15B5">
        <w:rPr>
          <w:rFonts w:cstheme="minorHAnsi"/>
          <w:highlight w:val="lightGray"/>
        </w:rPr>
        <w:t>Care to home infusion</w:t>
      </w:r>
      <w:r w:rsidRPr="00453D13">
        <w:rPr>
          <w:rFonts w:cstheme="minorHAnsi"/>
          <w:highlight w:val="lightGray"/>
        </w:rPr>
        <w:t>, which may include:</w:t>
      </w:r>
      <w:r w:rsidRPr="00453D13">
        <w:rPr>
          <w:rFonts w:cstheme="minorHAnsi"/>
        </w:rPr>
        <w:t xml:space="preserve"> </w:t>
      </w:r>
    </w:p>
    <w:bookmarkEnd w:id="4"/>
    <w:p w14:paraId="18881EA9" w14:textId="6411CF08" w:rsidR="00AB4718" w:rsidRPr="00AB4718" w:rsidRDefault="00AB4718" w:rsidP="00AB4718">
      <w:pPr>
        <w:pStyle w:val="ListParagraph"/>
        <w:numPr>
          <w:ilvl w:val="1"/>
          <w:numId w:val="35"/>
        </w:numPr>
        <w:rPr>
          <w:rFonts w:cstheme="minorHAnsi"/>
          <w:highlight w:val="lightGray"/>
        </w:rPr>
      </w:pPr>
      <w:r w:rsidRPr="00AB4718">
        <w:rPr>
          <w:rFonts w:cstheme="minorHAnsi"/>
          <w:highlight w:val="lightGray"/>
        </w:rPr>
        <w:t xml:space="preserve">Patient has experienced trouble following verbal or written instructions </w:t>
      </w:r>
    </w:p>
    <w:p w14:paraId="390CF8A2" w14:textId="77777777" w:rsidR="00AB4718" w:rsidRPr="00AB4718" w:rsidRDefault="00AB4718" w:rsidP="00AB4718">
      <w:pPr>
        <w:pStyle w:val="ListParagraph"/>
        <w:numPr>
          <w:ilvl w:val="1"/>
          <w:numId w:val="35"/>
        </w:numPr>
        <w:rPr>
          <w:rFonts w:cstheme="minorHAnsi"/>
          <w:highlight w:val="lightGray"/>
        </w:rPr>
      </w:pPr>
      <w:r w:rsidRPr="00AB4718">
        <w:rPr>
          <w:rFonts w:cstheme="minorHAnsi"/>
          <w:highlight w:val="lightGray"/>
        </w:rPr>
        <w:t xml:space="preserve">Patient has an EDSS score of [&gt;6], indicating deficiencies in their fine motor skills </w:t>
      </w:r>
    </w:p>
    <w:p w14:paraId="41AB4461" w14:textId="3903BB9C" w:rsidR="00AB4718" w:rsidRPr="00AB4718" w:rsidRDefault="00AB4718" w:rsidP="00AB4718">
      <w:pPr>
        <w:pStyle w:val="ListParagraph"/>
        <w:numPr>
          <w:ilvl w:val="1"/>
          <w:numId w:val="35"/>
        </w:numPr>
        <w:rPr>
          <w:rFonts w:cstheme="minorHAnsi"/>
          <w:highlight w:val="lightGray"/>
        </w:rPr>
      </w:pPr>
      <w:r w:rsidRPr="00AB4718">
        <w:rPr>
          <w:rFonts w:cstheme="minorHAnsi"/>
          <w:highlight w:val="lightGray"/>
        </w:rPr>
        <w:t>Patient requires/requests close follow-up, monitoring, and high touch evaluation that can only be accomplished at the infusion site that has access to emergency medications, equipment, and personnel infusion site</w:t>
      </w:r>
    </w:p>
    <w:p w14:paraId="1E4664CC" w14:textId="34B8B00A" w:rsidR="0098243F" w:rsidRPr="00AB4718" w:rsidRDefault="00AB4718" w:rsidP="00AB4718">
      <w:pPr>
        <w:pStyle w:val="ListParagraph"/>
        <w:numPr>
          <w:ilvl w:val="1"/>
          <w:numId w:val="35"/>
        </w:numPr>
        <w:rPr>
          <w:rFonts w:cstheme="minorHAnsi"/>
          <w:highlight w:val="lightGray"/>
        </w:rPr>
      </w:pPr>
      <w:r w:rsidRPr="00AB4718">
        <w:rPr>
          <w:rFonts w:cstheme="minorHAnsi"/>
          <w:highlight w:val="lightGray"/>
        </w:rPr>
        <w:t>Patient’s living arrangements cannot accommodate the space and consistency needed for home infusion of TYSABRI]</w:t>
      </w:r>
    </w:p>
    <w:p w14:paraId="227A0540" w14:textId="6ED9ABA1" w:rsidR="00CE4C46" w:rsidRPr="00463FC5" w:rsidRDefault="00CE4C46" w:rsidP="00CE4C46">
      <w:pPr>
        <w:spacing w:after="0" w:line="240" w:lineRule="auto"/>
        <w:contextualSpacing/>
        <w:rPr>
          <w:rFonts w:cstheme="minorHAnsi"/>
        </w:rPr>
      </w:pPr>
      <w:r w:rsidRPr="00463FC5">
        <w:rPr>
          <w:rFonts w:cstheme="minorHAnsi"/>
        </w:rPr>
        <w:t xml:space="preserve">I ask that you review any clinical information submitted regarding my patient when considering this request, as well as </w:t>
      </w:r>
      <w:r>
        <w:rPr>
          <w:rFonts w:cstheme="minorHAnsi"/>
        </w:rPr>
        <w:t>review</w:t>
      </w:r>
      <w:r w:rsidRPr="00463FC5">
        <w:rPr>
          <w:rFonts w:cstheme="minorHAnsi"/>
        </w:rPr>
        <w:t xml:space="preserve"> clinical guidelines and recent clinical trial results. I have indicated the additional information submitted with this letter below:</w:t>
      </w:r>
    </w:p>
    <w:p w14:paraId="3E282159" w14:textId="48C43389" w:rsidR="00CE4C46" w:rsidRPr="00463FC5" w:rsidRDefault="00CE4C46" w:rsidP="00CE4C46">
      <w:pPr>
        <w:spacing w:after="0" w:line="240" w:lineRule="auto"/>
        <w:ind w:left="720" w:hanging="360"/>
        <w:contextualSpacing/>
        <w:rPr>
          <w:rFonts w:cstheme="minorHAnsi"/>
          <w:highlight w:val="lightGray"/>
        </w:rPr>
      </w:pPr>
      <w:r w:rsidRPr="00463FC5">
        <w:rPr>
          <w:rFonts w:cstheme="minorHAnsi"/>
          <w:highlight w:val="lightGray"/>
        </w:rPr>
        <w:t>[</w:t>
      </w:r>
      <w:sdt>
        <w:sdtPr>
          <w:rPr>
            <w:rFonts w:cstheme="minorHAnsi"/>
            <w:highlight w:val="lightGray"/>
          </w:rPr>
          <w:id w:val="1573237557"/>
          <w14:checkbox>
            <w14:checked w14:val="0"/>
            <w14:checkedState w14:val="2612" w14:font="MS Gothic"/>
            <w14:uncheckedState w14:val="2610" w14:font="MS Gothic"/>
          </w14:checkbox>
        </w:sdtPr>
        <w:sdtContent>
          <w:r w:rsidRPr="00463FC5">
            <w:rPr>
              <w:rFonts w:ascii="MS Gothic" w:eastAsia="MS Gothic" w:hAnsi="MS Gothic" w:cstheme="minorHAnsi" w:hint="eastAsia"/>
              <w:highlight w:val="lightGray"/>
            </w:rPr>
            <w:t>☐</w:t>
          </w:r>
        </w:sdtContent>
      </w:sdt>
      <w:r w:rsidRPr="00463FC5">
        <w:rPr>
          <w:rFonts w:cstheme="minorHAnsi"/>
          <w:highlight w:val="lightGray"/>
        </w:rPr>
        <w:t xml:space="preserve"> Relevant medication history and/or chart notes describing previous therapies and specific outcomes</w:t>
      </w:r>
    </w:p>
    <w:p w14:paraId="2494168B" w14:textId="13DE3BD1" w:rsidR="00CE4C46" w:rsidRPr="00463FC5" w:rsidRDefault="00000000" w:rsidP="00CE4C46">
      <w:pPr>
        <w:spacing w:after="0" w:line="240" w:lineRule="auto"/>
        <w:ind w:left="720" w:hanging="360"/>
        <w:contextualSpacing/>
        <w:rPr>
          <w:rFonts w:cstheme="minorHAnsi"/>
          <w:highlight w:val="lightGray"/>
        </w:rPr>
      </w:pPr>
      <w:sdt>
        <w:sdtPr>
          <w:rPr>
            <w:rFonts w:cstheme="minorHAnsi"/>
            <w:highlight w:val="lightGray"/>
          </w:rPr>
          <w:id w:val="890611008"/>
          <w14:checkbox>
            <w14:checked w14:val="0"/>
            <w14:checkedState w14:val="2612" w14:font="MS Gothic"/>
            <w14:uncheckedState w14:val="2610" w14:font="MS Gothic"/>
          </w14:checkbox>
        </w:sdtPr>
        <w:sdtContent>
          <w:r w:rsidR="00CE4C46" w:rsidRPr="00463FC5">
            <w:rPr>
              <w:rFonts w:ascii="Segoe UI Symbol" w:eastAsia="MS Mincho" w:hAnsi="Segoe UI Symbol" w:cs="Segoe UI Symbol"/>
              <w:highlight w:val="lightGray"/>
            </w:rPr>
            <w:t>☐</w:t>
          </w:r>
        </w:sdtContent>
      </w:sdt>
      <w:r w:rsidR="00CE4C46" w:rsidRPr="00463FC5">
        <w:rPr>
          <w:rFonts w:cstheme="minorHAnsi"/>
          <w:highlight w:val="lightGray"/>
        </w:rPr>
        <w:t xml:space="preserve"> MRI data </w:t>
      </w:r>
    </w:p>
    <w:p w14:paraId="6031A9B6" w14:textId="7A50AC66" w:rsidR="00CE4C46" w:rsidRPr="00463FC5" w:rsidRDefault="00000000" w:rsidP="00CE4C46">
      <w:pPr>
        <w:spacing w:after="0" w:line="240" w:lineRule="auto"/>
        <w:ind w:left="720" w:hanging="360"/>
        <w:contextualSpacing/>
        <w:rPr>
          <w:rFonts w:cstheme="minorHAnsi"/>
          <w:highlight w:val="lightGray"/>
        </w:rPr>
      </w:pPr>
      <w:sdt>
        <w:sdtPr>
          <w:rPr>
            <w:rFonts w:cstheme="minorHAnsi"/>
            <w:highlight w:val="lightGray"/>
          </w:rPr>
          <w:id w:val="-1447531764"/>
          <w14:checkbox>
            <w14:checked w14:val="0"/>
            <w14:checkedState w14:val="2612" w14:font="MS Gothic"/>
            <w14:uncheckedState w14:val="2610" w14:font="MS Gothic"/>
          </w14:checkbox>
        </w:sdtPr>
        <w:sdtContent>
          <w:r w:rsidR="00CE4C46" w:rsidRPr="00463FC5">
            <w:rPr>
              <w:rFonts w:ascii="Segoe UI Symbol" w:eastAsia="MS Mincho" w:hAnsi="Segoe UI Symbol" w:cs="Segoe UI Symbol"/>
              <w:highlight w:val="lightGray"/>
            </w:rPr>
            <w:t>☐</w:t>
          </w:r>
        </w:sdtContent>
      </w:sdt>
      <w:r w:rsidR="00CE4C46" w:rsidRPr="00463FC5">
        <w:rPr>
          <w:rFonts w:cstheme="minorHAnsi"/>
          <w:highlight w:val="lightGray"/>
        </w:rPr>
        <w:t xml:space="preserve"> Patient’s history of relapses </w:t>
      </w:r>
    </w:p>
    <w:p w14:paraId="6C489570" w14:textId="4D1C5EE6" w:rsidR="00CE4C46" w:rsidRPr="00463FC5" w:rsidRDefault="00000000" w:rsidP="00CE4C46">
      <w:pPr>
        <w:spacing w:after="0" w:line="240" w:lineRule="auto"/>
        <w:ind w:left="360"/>
        <w:contextualSpacing/>
        <w:rPr>
          <w:rFonts w:cstheme="minorHAnsi"/>
          <w:highlight w:val="lightGray"/>
        </w:rPr>
      </w:pPr>
      <w:sdt>
        <w:sdtPr>
          <w:rPr>
            <w:rFonts w:cstheme="minorHAnsi"/>
            <w:highlight w:val="lightGray"/>
          </w:rPr>
          <w:id w:val="-1948909439"/>
          <w14:checkbox>
            <w14:checked w14:val="0"/>
            <w14:checkedState w14:val="2612" w14:font="MS Gothic"/>
            <w14:uncheckedState w14:val="2610" w14:font="MS Gothic"/>
          </w14:checkbox>
        </w:sdtPr>
        <w:sdtContent>
          <w:r w:rsidR="00CE4C46" w:rsidRPr="00463FC5">
            <w:rPr>
              <w:rFonts w:ascii="Segoe UI Symbol" w:eastAsia="MS Mincho" w:hAnsi="Segoe UI Symbol" w:cs="Segoe UI Symbol"/>
              <w:highlight w:val="lightGray"/>
            </w:rPr>
            <w:t>☐</w:t>
          </w:r>
        </w:sdtContent>
      </w:sdt>
      <w:r w:rsidR="00CE4C46" w:rsidRPr="00463FC5">
        <w:rPr>
          <w:rFonts w:cstheme="minorHAnsi"/>
          <w:highlight w:val="lightGray"/>
        </w:rPr>
        <w:t xml:space="preserve"> EDSS history </w:t>
      </w:r>
    </w:p>
    <w:p w14:paraId="3799E03A" w14:textId="66D7756B" w:rsidR="00CE4C46" w:rsidRPr="00463FC5" w:rsidRDefault="00000000" w:rsidP="00CE4C46">
      <w:pPr>
        <w:spacing w:after="0" w:line="240" w:lineRule="auto"/>
        <w:ind w:left="360"/>
        <w:contextualSpacing/>
        <w:rPr>
          <w:rFonts w:cstheme="minorHAnsi"/>
        </w:rPr>
      </w:pPr>
      <w:sdt>
        <w:sdtPr>
          <w:rPr>
            <w:rFonts w:cstheme="minorHAnsi"/>
            <w:highlight w:val="lightGray"/>
          </w:rPr>
          <w:id w:val="-34653778"/>
          <w14:checkbox>
            <w14:checked w14:val="0"/>
            <w14:checkedState w14:val="2612" w14:font="MS Gothic"/>
            <w14:uncheckedState w14:val="2610" w14:font="MS Gothic"/>
          </w14:checkbox>
        </w:sdtPr>
        <w:sdtContent>
          <w:r w:rsidR="00CE4C46" w:rsidRPr="00463FC5">
            <w:rPr>
              <w:rFonts w:ascii="Segoe UI Symbol" w:eastAsia="MS Mincho" w:hAnsi="Segoe UI Symbol" w:cs="Segoe UI Symbol"/>
              <w:highlight w:val="lightGray"/>
            </w:rPr>
            <w:t>☐</w:t>
          </w:r>
        </w:sdtContent>
      </w:sdt>
      <w:r w:rsidR="00CE4C46" w:rsidRPr="00463FC5">
        <w:rPr>
          <w:rFonts w:cstheme="minorHAnsi"/>
          <w:highlight w:val="lightGray"/>
        </w:rPr>
        <w:t xml:space="preserve"> Supporting literature (</w:t>
      </w:r>
      <w:proofErr w:type="spellStart"/>
      <w:r w:rsidR="00CE4C46" w:rsidRPr="00463FC5">
        <w:rPr>
          <w:rFonts w:cstheme="minorHAnsi"/>
          <w:highlight w:val="lightGray"/>
        </w:rPr>
        <w:t>eg</w:t>
      </w:r>
      <w:proofErr w:type="spellEnd"/>
      <w:r w:rsidR="00CE4C46" w:rsidRPr="00463FC5">
        <w:rPr>
          <w:rFonts w:cstheme="minorHAnsi"/>
          <w:highlight w:val="lightGray"/>
        </w:rPr>
        <w:t>, clinical guidelines, recent clinical trials, etc)</w:t>
      </w:r>
      <w:r w:rsidR="00CE4C46" w:rsidRPr="00463FC5">
        <w:rPr>
          <w:rFonts w:cstheme="minorHAnsi"/>
          <w:color w:val="000000" w:themeColor="text1"/>
          <w:highlight w:val="lightGray"/>
        </w:rPr>
        <w:t>]</w:t>
      </w:r>
    </w:p>
    <w:p w14:paraId="253BD256" w14:textId="70E54974" w:rsidR="00CE4C46" w:rsidRPr="00463FC5" w:rsidRDefault="00CE4C46" w:rsidP="00CE4C46">
      <w:pPr>
        <w:spacing w:after="0" w:line="240" w:lineRule="auto"/>
        <w:rPr>
          <w:rFonts w:cstheme="minorHAnsi"/>
        </w:rPr>
      </w:pPr>
    </w:p>
    <w:p w14:paraId="0300E8BD" w14:textId="3E09A925" w:rsidR="00CE4C46" w:rsidRPr="00463FC5" w:rsidRDefault="00CE4C46" w:rsidP="00CE4C46">
      <w:pPr>
        <w:spacing w:after="0" w:line="240" w:lineRule="auto"/>
        <w:rPr>
          <w:rFonts w:cstheme="minorHAnsi"/>
        </w:rPr>
      </w:pPr>
      <w:r w:rsidRPr="00463FC5">
        <w:rPr>
          <w:rFonts w:cstheme="minorHAnsi"/>
        </w:rPr>
        <w:t xml:space="preserve">In summary, based on the patient’s current condition and the clinical data available to date, treatment with </w:t>
      </w:r>
      <w:r>
        <w:rPr>
          <w:rFonts w:cstheme="minorHAnsi"/>
        </w:rPr>
        <w:t>TYSABRI</w:t>
      </w:r>
      <w:r w:rsidRPr="00463FC5">
        <w:rPr>
          <w:rFonts w:cstheme="minorHAnsi"/>
        </w:rPr>
        <w:t xml:space="preserve"> for </w:t>
      </w:r>
      <w:r w:rsidRPr="00463FC5">
        <w:rPr>
          <w:rFonts w:cstheme="minorHAnsi"/>
          <w:highlight w:val="lightGray"/>
        </w:rPr>
        <w:t>[Patient Name]</w:t>
      </w:r>
      <w:r w:rsidRPr="00463FC5">
        <w:rPr>
          <w:rFonts w:cstheme="minorHAnsi"/>
        </w:rPr>
        <w:t xml:space="preserve"> is medically appropriate and necessary.</w:t>
      </w:r>
    </w:p>
    <w:p w14:paraId="54ED56AD" w14:textId="5842DC00" w:rsidR="00CE4C46" w:rsidRPr="00463FC5" w:rsidRDefault="00CE4C46" w:rsidP="00CE4C46">
      <w:pPr>
        <w:spacing w:after="0" w:line="240" w:lineRule="auto"/>
        <w:rPr>
          <w:rFonts w:cstheme="minorHAnsi"/>
        </w:rPr>
      </w:pPr>
    </w:p>
    <w:p w14:paraId="302317A6" w14:textId="2D02EB5A" w:rsidR="00CE4C46" w:rsidRPr="00463FC5" w:rsidRDefault="00CE4C46" w:rsidP="00CE4C46">
      <w:pPr>
        <w:spacing w:after="0" w:line="240" w:lineRule="auto"/>
        <w:rPr>
          <w:rFonts w:cstheme="minorHAnsi"/>
        </w:rPr>
      </w:pPr>
      <w:r w:rsidRPr="00463FC5">
        <w:rPr>
          <w:rFonts w:cstheme="minorHAnsi"/>
        </w:rPr>
        <w:t xml:space="preserve">Please feel free to contact me if you require further information regarding this request. I look forward to your response as soon as possible. </w:t>
      </w:r>
    </w:p>
    <w:p w14:paraId="4D4EFBE4" w14:textId="1973CDCB" w:rsidR="00CE4C46" w:rsidRPr="00463FC5" w:rsidRDefault="00CE4C46" w:rsidP="00CE4C46">
      <w:pPr>
        <w:spacing w:after="60" w:line="240" w:lineRule="auto"/>
        <w:rPr>
          <w:rFonts w:cstheme="minorHAnsi"/>
        </w:rPr>
      </w:pPr>
    </w:p>
    <w:p w14:paraId="6A2249B2" w14:textId="17E16EE6" w:rsidR="00CE4C46" w:rsidRPr="00463FC5" w:rsidRDefault="00CE4C46" w:rsidP="00CE4C46">
      <w:pPr>
        <w:spacing w:after="0" w:line="240" w:lineRule="auto"/>
        <w:rPr>
          <w:rFonts w:cstheme="minorHAnsi"/>
        </w:rPr>
      </w:pPr>
      <w:r w:rsidRPr="00463FC5">
        <w:rPr>
          <w:rFonts w:cstheme="minorHAnsi"/>
        </w:rPr>
        <w:t>Sincerely,</w:t>
      </w:r>
    </w:p>
    <w:p w14:paraId="407212C5" w14:textId="4A792A23" w:rsidR="00CE4C46" w:rsidRPr="00463FC5" w:rsidRDefault="00CE4C46" w:rsidP="00CE4C46">
      <w:pPr>
        <w:spacing w:after="0" w:line="240" w:lineRule="auto"/>
        <w:rPr>
          <w:rFonts w:cstheme="minorHAnsi"/>
        </w:rPr>
      </w:pPr>
    </w:p>
    <w:p w14:paraId="7346F8FD" w14:textId="77777777" w:rsidR="00CE4C46" w:rsidRPr="00463FC5" w:rsidRDefault="00CE4C46" w:rsidP="00CE4C46">
      <w:pPr>
        <w:spacing w:after="0" w:line="240" w:lineRule="auto"/>
        <w:rPr>
          <w:rFonts w:cstheme="minorHAnsi"/>
        </w:rPr>
      </w:pPr>
      <w:r w:rsidRPr="00463FC5">
        <w:rPr>
          <w:rFonts w:cstheme="minorHAnsi"/>
          <w:highlight w:val="lightGray"/>
        </w:rPr>
        <w:t>[Prescriber Name]</w:t>
      </w:r>
    </w:p>
    <w:p w14:paraId="04CAF18F" w14:textId="77777777" w:rsidR="00CE4C46" w:rsidRPr="00463FC5" w:rsidRDefault="00CE4C46" w:rsidP="00CE4C46">
      <w:pPr>
        <w:spacing w:after="0" w:line="240" w:lineRule="auto"/>
        <w:rPr>
          <w:rFonts w:cstheme="minorHAnsi"/>
          <w:highlight w:val="lightGray"/>
        </w:rPr>
      </w:pPr>
      <w:r w:rsidRPr="00463FC5">
        <w:rPr>
          <w:rFonts w:cstheme="minorHAnsi"/>
          <w:highlight w:val="lightGray"/>
        </w:rPr>
        <w:t>[Prescriber Specialty]</w:t>
      </w:r>
    </w:p>
    <w:p w14:paraId="36EC2FF5" w14:textId="63D4669D" w:rsidR="00CE4C46" w:rsidRPr="008A4461" w:rsidRDefault="00CE4C46" w:rsidP="00CE4C46">
      <w:pPr>
        <w:spacing w:after="0" w:line="240" w:lineRule="auto"/>
        <w:rPr>
          <w:rFonts w:cstheme="minorHAnsi"/>
        </w:rPr>
      </w:pPr>
      <w:r w:rsidRPr="00463FC5">
        <w:rPr>
          <w:rFonts w:cstheme="minorHAnsi"/>
          <w:highlight w:val="lightGray"/>
        </w:rPr>
        <w:t>[Prescriber Contact Info]</w:t>
      </w:r>
    </w:p>
    <w:p w14:paraId="1DF8A1BF" w14:textId="77777777" w:rsidR="00CE4C46" w:rsidRDefault="00CE4C46" w:rsidP="00CE4C46">
      <w:pPr>
        <w:spacing w:after="0" w:line="240" w:lineRule="auto"/>
        <w:rPr>
          <w:rFonts w:eastAsia="Times New Roman" w:cstheme="minorHAnsi"/>
          <w:b/>
          <w:bCs/>
          <w:color w:val="000000" w:themeColor="text1"/>
          <w:shd w:val="clear" w:color="auto" w:fill="FFFFFF"/>
        </w:rPr>
      </w:pPr>
    </w:p>
    <w:p w14:paraId="3228893C" w14:textId="1DAC4A46" w:rsidR="00C3092B" w:rsidRPr="00CE4C46" w:rsidRDefault="00C3092B" w:rsidP="00C3092B">
      <w:pPr>
        <w:spacing w:after="0" w:line="240" w:lineRule="auto"/>
        <w:rPr>
          <w:rFonts w:eastAsia="Times New Roman" w:cstheme="minorHAnsi"/>
          <w:b/>
          <w:bCs/>
          <w:color w:val="000000" w:themeColor="text1"/>
          <w:shd w:val="clear" w:color="auto" w:fill="FFFFFF"/>
        </w:rPr>
      </w:pPr>
      <w:r w:rsidRPr="00955A3E">
        <w:rPr>
          <w:rFonts w:eastAsia="Times New Roman" w:cstheme="minorHAnsi"/>
          <w:b/>
          <w:bCs/>
          <w:color w:val="000000" w:themeColor="text1"/>
          <w:shd w:val="clear" w:color="auto" w:fill="FFFFFF"/>
        </w:rPr>
        <w:t>References</w:t>
      </w:r>
      <w:r>
        <w:rPr>
          <w:rFonts w:eastAsia="Times New Roman" w:cstheme="minorHAnsi"/>
          <w:b/>
          <w:bCs/>
          <w:color w:val="000000" w:themeColor="text1"/>
          <w:shd w:val="clear" w:color="auto" w:fill="FFFFFF"/>
        </w:rPr>
        <w:t>:</w:t>
      </w:r>
      <w:r w:rsidRPr="008A4461">
        <w:rPr>
          <w:rFonts w:eastAsia="Times New Roman" w:cstheme="minorHAnsi"/>
          <w:color w:val="000000" w:themeColor="text1"/>
          <w:shd w:val="clear" w:color="auto" w:fill="FFFFFF"/>
        </w:rPr>
        <w:t xml:space="preserve"> </w:t>
      </w:r>
      <w:r>
        <w:rPr>
          <w:rFonts w:eastAsia="Times New Roman" w:cstheme="minorHAnsi"/>
          <w:b/>
          <w:bCs/>
          <w:color w:val="000000" w:themeColor="text1"/>
          <w:shd w:val="clear" w:color="auto" w:fill="FFFFFF"/>
        </w:rPr>
        <w:t>1</w:t>
      </w:r>
      <w:r w:rsidRPr="00955A3E">
        <w:rPr>
          <w:rFonts w:eastAsia="Times New Roman" w:cstheme="minorHAnsi"/>
          <w:b/>
          <w:bCs/>
          <w:color w:val="000000" w:themeColor="text1"/>
          <w:shd w:val="clear" w:color="auto" w:fill="FFFFFF"/>
        </w:rPr>
        <w:t xml:space="preserve">. </w:t>
      </w:r>
      <w:r w:rsidRPr="00955A3E">
        <w:rPr>
          <w:rFonts w:eastAsia="Times New Roman" w:cstheme="minorHAnsi"/>
          <w:color w:val="000000" w:themeColor="text1"/>
          <w:shd w:val="clear" w:color="auto" w:fill="FFFFFF"/>
        </w:rPr>
        <w:t>TYSABRI Prescribing Information. Cambridge, MA: Biogen.</w:t>
      </w:r>
      <w:r>
        <w:rPr>
          <w:rFonts w:eastAsia="Times New Roman" w:cstheme="minorHAnsi"/>
          <w:b/>
          <w:bCs/>
          <w:color w:val="000000" w:themeColor="text1"/>
          <w:shd w:val="clear" w:color="auto" w:fill="FFFFFF"/>
        </w:rPr>
        <w:t xml:space="preserve"> 2</w:t>
      </w:r>
      <w:r w:rsidRPr="00955A3E">
        <w:rPr>
          <w:rFonts w:eastAsia="Times New Roman" w:cstheme="minorHAnsi"/>
          <w:b/>
          <w:bCs/>
          <w:color w:val="000000" w:themeColor="text1"/>
          <w:shd w:val="clear" w:color="auto" w:fill="FFFFFF"/>
        </w:rPr>
        <w:t xml:space="preserve">. </w:t>
      </w:r>
      <w:r w:rsidRPr="00955A3E">
        <w:rPr>
          <w:rFonts w:eastAsia="Times New Roman" w:cstheme="minorHAnsi"/>
          <w:color w:val="000000" w:themeColor="text1"/>
          <w:shd w:val="clear" w:color="auto" w:fill="FFFFFF"/>
        </w:rPr>
        <w:t xml:space="preserve">Polman CH, et al. </w:t>
      </w:r>
      <w:r w:rsidRPr="00955A3E">
        <w:rPr>
          <w:rFonts w:eastAsia="Times New Roman" w:cstheme="minorHAnsi"/>
          <w:i/>
          <w:iCs/>
          <w:color w:val="000000" w:themeColor="text1"/>
          <w:shd w:val="clear" w:color="auto" w:fill="FFFFFF"/>
        </w:rPr>
        <w:t>N Engl J Med.</w:t>
      </w:r>
      <w:r w:rsidRPr="00955A3E">
        <w:rPr>
          <w:rFonts w:eastAsia="Times New Roman" w:cstheme="minorHAnsi"/>
          <w:color w:val="000000" w:themeColor="text1"/>
          <w:shd w:val="clear" w:color="auto" w:fill="FFFFFF"/>
        </w:rPr>
        <w:t xml:space="preserve"> 2006;354(9):899-910.</w:t>
      </w:r>
      <w:r w:rsidRPr="00955A3E">
        <w:rPr>
          <w:rFonts w:eastAsia="Times New Roman" w:cstheme="minorHAnsi"/>
          <w:b/>
          <w:bCs/>
          <w:color w:val="000000" w:themeColor="text1"/>
          <w:shd w:val="clear" w:color="auto" w:fill="FFFFFF"/>
        </w:rPr>
        <w:t xml:space="preserve"> </w:t>
      </w:r>
      <w:r>
        <w:rPr>
          <w:rFonts w:eastAsia="Times New Roman" w:cstheme="minorHAnsi"/>
          <w:b/>
          <w:bCs/>
          <w:color w:val="000000" w:themeColor="text1"/>
          <w:shd w:val="clear" w:color="auto" w:fill="FFFFFF"/>
        </w:rPr>
        <w:t>3</w:t>
      </w:r>
      <w:r w:rsidRPr="00955A3E">
        <w:rPr>
          <w:rFonts w:eastAsia="Times New Roman" w:cstheme="minorHAnsi"/>
          <w:b/>
          <w:bCs/>
          <w:color w:val="000000" w:themeColor="text1"/>
          <w:shd w:val="clear" w:color="auto" w:fill="FFFFFF"/>
        </w:rPr>
        <w:t xml:space="preserve">. </w:t>
      </w:r>
      <w:r w:rsidRPr="00955A3E">
        <w:rPr>
          <w:rFonts w:eastAsia="Times New Roman" w:cstheme="minorHAnsi"/>
          <w:color w:val="000000" w:themeColor="text1"/>
          <w:shd w:val="clear" w:color="auto" w:fill="FFFFFF"/>
        </w:rPr>
        <w:t xml:space="preserve">Kappos L, et al. </w:t>
      </w:r>
      <w:r w:rsidRPr="00955A3E">
        <w:rPr>
          <w:rFonts w:eastAsia="Times New Roman" w:cstheme="minorHAnsi"/>
          <w:i/>
          <w:iCs/>
          <w:color w:val="000000" w:themeColor="text1"/>
          <w:shd w:val="clear" w:color="auto" w:fill="FFFFFF"/>
        </w:rPr>
        <w:t>J Neurol.</w:t>
      </w:r>
      <w:r w:rsidRPr="00955A3E">
        <w:rPr>
          <w:rFonts w:eastAsia="Times New Roman" w:cstheme="minorHAnsi"/>
          <w:color w:val="000000" w:themeColor="text1"/>
          <w:shd w:val="clear" w:color="auto" w:fill="FFFFFF"/>
        </w:rPr>
        <w:t xml:space="preserve"> 2013;260:1388-1395. </w:t>
      </w:r>
      <w:r>
        <w:rPr>
          <w:rFonts w:eastAsia="Times New Roman" w:cstheme="minorHAnsi"/>
          <w:b/>
          <w:bCs/>
          <w:color w:val="000000" w:themeColor="text1"/>
          <w:shd w:val="clear" w:color="auto" w:fill="FFFFFF"/>
        </w:rPr>
        <w:t>4</w:t>
      </w:r>
      <w:r w:rsidRPr="00955A3E">
        <w:rPr>
          <w:rFonts w:eastAsia="Times New Roman" w:cstheme="minorHAnsi"/>
          <w:color w:val="000000" w:themeColor="text1"/>
          <w:shd w:val="clear" w:color="auto" w:fill="FFFFFF"/>
        </w:rPr>
        <w:t xml:space="preserve">. Butzkueven H, et al. </w:t>
      </w:r>
      <w:r w:rsidRPr="00955A3E">
        <w:rPr>
          <w:rFonts w:eastAsia="Times New Roman" w:cstheme="minorHAnsi"/>
          <w:i/>
          <w:iCs/>
          <w:color w:val="000000" w:themeColor="text1"/>
          <w:shd w:val="clear" w:color="auto" w:fill="FFFFFF"/>
        </w:rPr>
        <w:t>Neurol Neurosurg Psychiatry.</w:t>
      </w:r>
      <w:r w:rsidRPr="00955A3E">
        <w:rPr>
          <w:rFonts w:eastAsia="Times New Roman" w:cstheme="minorHAnsi"/>
          <w:color w:val="000000" w:themeColor="text1"/>
          <w:shd w:val="clear" w:color="auto" w:fill="FFFFFF"/>
        </w:rPr>
        <w:t xml:space="preserve"> 2020;91:660-668. </w:t>
      </w:r>
      <w:r>
        <w:rPr>
          <w:rFonts w:eastAsia="Times New Roman" w:cstheme="minorHAnsi"/>
          <w:b/>
          <w:bCs/>
          <w:color w:val="000000" w:themeColor="text1"/>
          <w:shd w:val="clear" w:color="auto" w:fill="FFFFFF"/>
        </w:rPr>
        <w:t>5</w:t>
      </w:r>
      <w:r w:rsidRPr="00955A3E">
        <w:rPr>
          <w:rFonts w:eastAsia="Times New Roman" w:cstheme="minorHAnsi"/>
          <w:b/>
          <w:bCs/>
          <w:color w:val="000000" w:themeColor="text1"/>
          <w:shd w:val="clear" w:color="auto" w:fill="FFFFFF"/>
        </w:rPr>
        <w:t xml:space="preserve">. </w:t>
      </w:r>
      <w:r w:rsidRPr="00955A3E">
        <w:rPr>
          <w:rFonts w:eastAsia="Times New Roman" w:cstheme="minorHAnsi"/>
          <w:color w:val="000000" w:themeColor="text1"/>
          <w:shd w:val="clear" w:color="auto" w:fill="FFFFFF"/>
        </w:rPr>
        <w:t xml:space="preserve">Foley J, et al; TYGRIS investigators. </w:t>
      </w:r>
      <w:r w:rsidRPr="00955A3E">
        <w:rPr>
          <w:rFonts w:eastAsia="Times New Roman" w:cstheme="minorHAnsi"/>
          <w:i/>
          <w:iCs/>
          <w:color w:val="000000" w:themeColor="text1"/>
          <w:shd w:val="clear" w:color="auto" w:fill="FFFFFF"/>
        </w:rPr>
        <w:t>Mult Scler Relat Disord.</w:t>
      </w:r>
      <w:r w:rsidRPr="00955A3E">
        <w:rPr>
          <w:rFonts w:eastAsia="Times New Roman" w:cstheme="minorHAnsi"/>
          <w:color w:val="000000" w:themeColor="text1"/>
          <w:shd w:val="clear" w:color="auto" w:fill="FFFFFF"/>
        </w:rPr>
        <w:t xml:space="preserve"> 2020;39:101863. </w:t>
      </w:r>
      <w:r>
        <w:rPr>
          <w:rFonts w:eastAsia="Times New Roman" w:cstheme="minorHAnsi"/>
          <w:b/>
          <w:bCs/>
          <w:color w:val="000000" w:themeColor="text1"/>
          <w:shd w:val="clear" w:color="auto" w:fill="FFFFFF"/>
        </w:rPr>
        <w:t>6</w:t>
      </w:r>
      <w:r w:rsidRPr="00955A3E">
        <w:rPr>
          <w:rFonts w:eastAsia="Times New Roman" w:cstheme="minorHAnsi"/>
          <w:b/>
          <w:bCs/>
          <w:color w:val="000000" w:themeColor="text1"/>
          <w:shd w:val="clear" w:color="auto" w:fill="FFFFFF"/>
        </w:rPr>
        <w:t xml:space="preserve">. </w:t>
      </w:r>
      <w:r w:rsidRPr="00955A3E">
        <w:rPr>
          <w:rFonts w:eastAsia="Times New Roman" w:cstheme="minorHAnsi"/>
          <w:color w:val="000000" w:themeColor="text1"/>
          <w:shd w:val="clear" w:color="auto" w:fill="FFFFFF"/>
        </w:rPr>
        <w:t xml:space="preserve">Hersh CM, Kieseier B, de Moor C, et al. </w:t>
      </w:r>
      <w:r w:rsidRPr="00955A3E">
        <w:rPr>
          <w:rFonts w:eastAsia="Times New Roman" w:cstheme="minorHAnsi"/>
          <w:i/>
          <w:iCs/>
          <w:color w:val="000000" w:themeColor="text1"/>
          <w:shd w:val="clear" w:color="auto" w:fill="FFFFFF"/>
        </w:rPr>
        <w:t>Mult Scler J Exp Transl Clin.</w:t>
      </w:r>
      <w:r w:rsidRPr="00955A3E">
        <w:rPr>
          <w:rFonts w:eastAsia="Times New Roman" w:cstheme="minorHAnsi"/>
          <w:color w:val="000000" w:themeColor="text1"/>
          <w:shd w:val="clear" w:color="auto" w:fill="FFFFFF"/>
        </w:rPr>
        <w:t xml:space="preserve"> 2021;7(2):20552173211004634</w:t>
      </w:r>
      <w:r w:rsidR="00EC3494">
        <w:rPr>
          <w:rFonts w:eastAsia="Times New Roman" w:cstheme="minorHAnsi"/>
          <w:color w:val="000000" w:themeColor="text1"/>
          <w:shd w:val="clear" w:color="auto" w:fill="FFFFFF"/>
        </w:rPr>
        <w:t>.</w:t>
      </w:r>
      <w:r w:rsidRPr="00955A3E">
        <w:rPr>
          <w:rFonts w:eastAsia="Times New Roman" w:cstheme="minorHAnsi"/>
          <w:color w:val="000000" w:themeColor="text1"/>
          <w:shd w:val="clear" w:color="auto" w:fill="FFFFFF"/>
        </w:rPr>
        <w:t xml:space="preserve"> </w:t>
      </w:r>
      <w:r w:rsidRPr="00955A3E">
        <w:rPr>
          <w:rFonts w:eastAsia="Times New Roman" w:cstheme="minorHAnsi"/>
          <w:b/>
          <w:bCs/>
          <w:color w:val="000000" w:themeColor="text1"/>
          <w:shd w:val="clear" w:color="auto" w:fill="FFFFFF"/>
        </w:rPr>
        <w:t xml:space="preserve">7. </w:t>
      </w:r>
      <w:r w:rsidRPr="00955A3E">
        <w:rPr>
          <w:rFonts w:eastAsia="Times New Roman" w:cstheme="minorHAnsi"/>
          <w:color w:val="000000" w:themeColor="text1"/>
          <w:shd w:val="clear" w:color="auto" w:fill="FFFFFF"/>
        </w:rPr>
        <w:t xml:space="preserve">TYSABRI Cumulative Post-Market &amp; Clinical Trial Patient Exposure. Data on file. Biogen, Cambridge, MA. </w:t>
      </w:r>
    </w:p>
    <w:p w14:paraId="26938AC0" w14:textId="58259F8F" w:rsidR="00132485" w:rsidRPr="00797E6D" w:rsidRDefault="00000000" w:rsidP="00CE4C46">
      <w:pPr>
        <w:spacing w:after="0" w:line="240" w:lineRule="auto"/>
        <w:rPr>
          <w:rFonts w:cstheme="minorHAnsi"/>
        </w:rPr>
      </w:pPr>
    </w:p>
    <w:sectPr w:rsidR="00132485" w:rsidRPr="00797E6D" w:rsidSect="00E60A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A6A"/>
    <w:multiLevelType w:val="hybridMultilevel"/>
    <w:tmpl w:val="FCB65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C2AEF"/>
    <w:multiLevelType w:val="hybridMultilevel"/>
    <w:tmpl w:val="83AE12B6"/>
    <w:lvl w:ilvl="0" w:tplc="13088DAC">
      <w:start w:val="1"/>
      <w:numFmt w:val="bullet"/>
      <w:lvlText w:val="•"/>
      <w:lvlJc w:val="left"/>
      <w:pPr>
        <w:tabs>
          <w:tab w:val="num" w:pos="720"/>
        </w:tabs>
        <w:ind w:left="720" w:hanging="360"/>
      </w:pPr>
      <w:rPr>
        <w:rFonts w:ascii="Arial" w:hAnsi="Arial" w:hint="default"/>
      </w:rPr>
    </w:lvl>
    <w:lvl w:ilvl="1" w:tplc="631A5A1C" w:tentative="1">
      <w:start w:val="1"/>
      <w:numFmt w:val="bullet"/>
      <w:lvlText w:val="•"/>
      <w:lvlJc w:val="left"/>
      <w:pPr>
        <w:tabs>
          <w:tab w:val="num" w:pos="1440"/>
        </w:tabs>
        <w:ind w:left="1440" w:hanging="360"/>
      </w:pPr>
      <w:rPr>
        <w:rFonts w:ascii="Arial" w:hAnsi="Arial" w:hint="default"/>
      </w:rPr>
    </w:lvl>
    <w:lvl w:ilvl="2" w:tplc="6EFC39B0">
      <w:start w:val="1"/>
      <w:numFmt w:val="bullet"/>
      <w:lvlText w:val="•"/>
      <w:lvlJc w:val="left"/>
      <w:pPr>
        <w:tabs>
          <w:tab w:val="num" w:pos="2160"/>
        </w:tabs>
        <w:ind w:left="2160" w:hanging="360"/>
      </w:pPr>
      <w:rPr>
        <w:rFonts w:ascii="Arial" w:hAnsi="Arial" w:hint="default"/>
      </w:rPr>
    </w:lvl>
    <w:lvl w:ilvl="3" w:tplc="6FDEFFBE" w:tentative="1">
      <w:start w:val="1"/>
      <w:numFmt w:val="bullet"/>
      <w:lvlText w:val="•"/>
      <w:lvlJc w:val="left"/>
      <w:pPr>
        <w:tabs>
          <w:tab w:val="num" w:pos="2880"/>
        </w:tabs>
        <w:ind w:left="2880" w:hanging="360"/>
      </w:pPr>
      <w:rPr>
        <w:rFonts w:ascii="Arial" w:hAnsi="Arial" w:hint="default"/>
      </w:rPr>
    </w:lvl>
    <w:lvl w:ilvl="4" w:tplc="BD3C4AEE" w:tentative="1">
      <w:start w:val="1"/>
      <w:numFmt w:val="bullet"/>
      <w:lvlText w:val="•"/>
      <w:lvlJc w:val="left"/>
      <w:pPr>
        <w:tabs>
          <w:tab w:val="num" w:pos="3600"/>
        </w:tabs>
        <w:ind w:left="3600" w:hanging="360"/>
      </w:pPr>
      <w:rPr>
        <w:rFonts w:ascii="Arial" w:hAnsi="Arial" w:hint="default"/>
      </w:rPr>
    </w:lvl>
    <w:lvl w:ilvl="5" w:tplc="FB7C8D00" w:tentative="1">
      <w:start w:val="1"/>
      <w:numFmt w:val="bullet"/>
      <w:lvlText w:val="•"/>
      <w:lvlJc w:val="left"/>
      <w:pPr>
        <w:tabs>
          <w:tab w:val="num" w:pos="4320"/>
        </w:tabs>
        <w:ind w:left="4320" w:hanging="360"/>
      </w:pPr>
      <w:rPr>
        <w:rFonts w:ascii="Arial" w:hAnsi="Arial" w:hint="default"/>
      </w:rPr>
    </w:lvl>
    <w:lvl w:ilvl="6" w:tplc="AEF68DF0" w:tentative="1">
      <w:start w:val="1"/>
      <w:numFmt w:val="bullet"/>
      <w:lvlText w:val="•"/>
      <w:lvlJc w:val="left"/>
      <w:pPr>
        <w:tabs>
          <w:tab w:val="num" w:pos="5040"/>
        </w:tabs>
        <w:ind w:left="5040" w:hanging="360"/>
      </w:pPr>
      <w:rPr>
        <w:rFonts w:ascii="Arial" w:hAnsi="Arial" w:hint="default"/>
      </w:rPr>
    </w:lvl>
    <w:lvl w:ilvl="7" w:tplc="DC2E8A36" w:tentative="1">
      <w:start w:val="1"/>
      <w:numFmt w:val="bullet"/>
      <w:lvlText w:val="•"/>
      <w:lvlJc w:val="left"/>
      <w:pPr>
        <w:tabs>
          <w:tab w:val="num" w:pos="5760"/>
        </w:tabs>
        <w:ind w:left="5760" w:hanging="360"/>
      </w:pPr>
      <w:rPr>
        <w:rFonts w:ascii="Arial" w:hAnsi="Arial" w:hint="default"/>
      </w:rPr>
    </w:lvl>
    <w:lvl w:ilvl="8" w:tplc="B3CE9D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FC15E9"/>
    <w:multiLevelType w:val="hybridMultilevel"/>
    <w:tmpl w:val="918AC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9440F"/>
    <w:multiLevelType w:val="multilevel"/>
    <w:tmpl w:val="754C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B91D6D"/>
    <w:multiLevelType w:val="multilevel"/>
    <w:tmpl w:val="7936750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713BCA"/>
    <w:multiLevelType w:val="multilevel"/>
    <w:tmpl w:val="5132623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11EFB"/>
    <w:multiLevelType w:val="multilevel"/>
    <w:tmpl w:val="642C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97A37"/>
    <w:multiLevelType w:val="hybridMultilevel"/>
    <w:tmpl w:val="7F763568"/>
    <w:lvl w:ilvl="0" w:tplc="FFFFFFFF">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F01C00"/>
    <w:multiLevelType w:val="multilevel"/>
    <w:tmpl w:val="BD02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3C6638"/>
    <w:multiLevelType w:val="multilevel"/>
    <w:tmpl w:val="79B0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3865B4"/>
    <w:multiLevelType w:val="multilevel"/>
    <w:tmpl w:val="F9E8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F66E8A"/>
    <w:multiLevelType w:val="multilevel"/>
    <w:tmpl w:val="CD18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783858"/>
    <w:multiLevelType w:val="hybridMultilevel"/>
    <w:tmpl w:val="7494AFCC"/>
    <w:lvl w:ilvl="0" w:tplc="A4E4430C">
      <w:start w:val="1"/>
      <w:numFmt w:val="bullet"/>
      <w:lvlText w:val="•"/>
      <w:lvlJc w:val="left"/>
      <w:pPr>
        <w:tabs>
          <w:tab w:val="num" w:pos="720"/>
        </w:tabs>
        <w:ind w:left="720" w:hanging="360"/>
      </w:pPr>
      <w:rPr>
        <w:rFonts w:ascii="Arial" w:hAnsi="Arial" w:hint="default"/>
      </w:rPr>
    </w:lvl>
    <w:lvl w:ilvl="1" w:tplc="92822CAA">
      <w:numFmt w:val="bullet"/>
      <w:lvlText w:val="•"/>
      <w:lvlJc w:val="left"/>
      <w:pPr>
        <w:tabs>
          <w:tab w:val="num" w:pos="1440"/>
        </w:tabs>
        <w:ind w:left="1440" w:hanging="360"/>
      </w:pPr>
      <w:rPr>
        <w:rFonts w:ascii="Arial" w:hAnsi="Arial" w:hint="default"/>
      </w:rPr>
    </w:lvl>
    <w:lvl w:ilvl="2" w:tplc="C65C4408" w:tentative="1">
      <w:start w:val="1"/>
      <w:numFmt w:val="bullet"/>
      <w:lvlText w:val="•"/>
      <w:lvlJc w:val="left"/>
      <w:pPr>
        <w:tabs>
          <w:tab w:val="num" w:pos="2160"/>
        </w:tabs>
        <w:ind w:left="2160" w:hanging="360"/>
      </w:pPr>
      <w:rPr>
        <w:rFonts w:ascii="Arial" w:hAnsi="Arial" w:hint="default"/>
      </w:rPr>
    </w:lvl>
    <w:lvl w:ilvl="3" w:tplc="3724DF58" w:tentative="1">
      <w:start w:val="1"/>
      <w:numFmt w:val="bullet"/>
      <w:lvlText w:val="•"/>
      <w:lvlJc w:val="left"/>
      <w:pPr>
        <w:tabs>
          <w:tab w:val="num" w:pos="2880"/>
        </w:tabs>
        <w:ind w:left="2880" w:hanging="360"/>
      </w:pPr>
      <w:rPr>
        <w:rFonts w:ascii="Arial" w:hAnsi="Arial" w:hint="default"/>
      </w:rPr>
    </w:lvl>
    <w:lvl w:ilvl="4" w:tplc="DD1AE58A" w:tentative="1">
      <w:start w:val="1"/>
      <w:numFmt w:val="bullet"/>
      <w:lvlText w:val="•"/>
      <w:lvlJc w:val="left"/>
      <w:pPr>
        <w:tabs>
          <w:tab w:val="num" w:pos="3600"/>
        </w:tabs>
        <w:ind w:left="3600" w:hanging="360"/>
      </w:pPr>
      <w:rPr>
        <w:rFonts w:ascii="Arial" w:hAnsi="Arial" w:hint="default"/>
      </w:rPr>
    </w:lvl>
    <w:lvl w:ilvl="5" w:tplc="60540DAC" w:tentative="1">
      <w:start w:val="1"/>
      <w:numFmt w:val="bullet"/>
      <w:lvlText w:val="•"/>
      <w:lvlJc w:val="left"/>
      <w:pPr>
        <w:tabs>
          <w:tab w:val="num" w:pos="4320"/>
        </w:tabs>
        <w:ind w:left="4320" w:hanging="360"/>
      </w:pPr>
      <w:rPr>
        <w:rFonts w:ascii="Arial" w:hAnsi="Arial" w:hint="default"/>
      </w:rPr>
    </w:lvl>
    <w:lvl w:ilvl="6" w:tplc="FB9C2580" w:tentative="1">
      <w:start w:val="1"/>
      <w:numFmt w:val="bullet"/>
      <w:lvlText w:val="•"/>
      <w:lvlJc w:val="left"/>
      <w:pPr>
        <w:tabs>
          <w:tab w:val="num" w:pos="5040"/>
        </w:tabs>
        <w:ind w:left="5040" w:hanging="360"/>
      </w:pPr>
      <w:rPr>
        <w:rFonts w:ascii="Arial" w:hAnsi="Arial" w:hint="default"/>
      </w:rPr>
    </w:lvl>
    <w:lvl w:ilvl="7" w:tplc="E7E27882" w:tentative="1">
      <w:start w:val="1"/>
      <w:numFmt w:val="bullet"/>
      <w:lvlText w:val="•"/>
      <w:lvlJc w:val="left"/>
      <w:pPr>
        <w:tabs>
          <w:tab w:val="num" w:pos="5760"/>
        </w:tabs>
        <w:ind w:left="5760" w:hanging="360"/>
      </w:pPr>
      <w:rPr>
        <w:rFonts w:ascii="Arial" w:hAnsi="Arial" w:hint="default"/>
      </w:rPr>
    </w:lvl>
    <w:lvl w:ilvl="8" w:tplc="73E6D4A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F44842"/>
    <w:multiLevelType w:val="multilevel"/>
    <w:tmpl w:val="A364DAF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3211D2"/>
    <w:multiLevelType w:val="multilevel"/>
    <w:tmpl w:val="9190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977B2F"/>
    <w:multiLevelType w:val="hybridMultilevel"/>
    <w:tmpl w:val="A3D4A756"/>
    <w:lvl w:ilvl="0" w:tplc="04090001">
      <w:start w:val="1"/>
      <w:numFmt w:val="bullet"/>
      <w:lvlText w:val=""/>
      <w:lvlJc w:val="left"/>
      <w:pPr>
        <w:ind w:left="720" w:hanging="360"/>
      </w:pPr>
      <w:rPr>
        <w:rFonts w:ascii="Symbol" w:hAnsi="Symbol" w:hint="default"/>
      </w:rPr>
    </w:lvl>
    <w:lvl w:ilvl="1" w:tplc="428A0EF0">
      <w:start w:val="1"/>
      <w:numFmt w:val="bullet"/>
      <w:lvlText w:val="–"/>
      <w:lvlJc w:val="left"/>
      <w:pPr>
        <w:ind w:left="1440" w:hanging="360"/>
      </w:pPr>
      <w:rPr>
        <w:rFonts w:ascii="Calibri" w:hAnsi="Calibri" w:hint="default"/>
        <w:b w:val="0"/>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82354B"/>
    <w:multiLevelType w:val="multilevel"/>
    <w:tmpl w:val="55D8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7061AB"/>
    <w:multiLevelType w:val="hybridMultilevel"/>
    <w:tmpl w:val="7848C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D1CFA"/>
    <w:multiLevelType w:val="multilevel"/>
    <w:tmpl w:val="1966BAF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573AF0"/>
    <w:multiLevelType w:val="hybridMultilevel"/>
    <w:tmpl w:val="1FA41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29025C"/>
    <w:multiLevelType w:val="hybridMultilevel"/>
    <w:tmpl w:val="7A00D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8A3F52"/>
    <w:multiLevelType w:val="multilevel"/>
    <w:tmpl w:val="6772DC0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ED5409"/>
    <w:multiLevelType w:val="hybridMultilevel"/>
    <w:tmpl w:val="42541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6E1F6E"/>
    <w:multiLevelType w:val="hybridMultilevel"/>
    <w:tmpl w:val="611E3FF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5777646"/>
    <w:multiLevelType w:val="multilevel"/>
    <w:tmpl w:val="5A8E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CC2A8D"/>
    <w:multiLevelType w:val="multilevel"/>
    <w:tmpl w:val="3894E35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257357"/>
    <w:multiLevelType w:val="multilevel"/>
    <w:tmpl w:val="6048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ED40F0"/>
    <w:multiLevelType w:val="multilevel"/>
    <w:tmpl w:val="EB223F4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6771EA"/>
    <w:multiLevelType w:val="hybridMultilevel"/>
    <w:tmpl w:val="EF227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A2428C"/>
    <w:multiLevelType w:val="hybridMultilevel"/>
    <w:tmpl w:val="64128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F82927"/>
    <w:multiLevelType w:val="hybridMultilevel"/>
    <w:tmpl w:val="0B20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8A004C"/>
    <w:multiLevelType w:val="hybridMultilevel"/>
    <w:tmpl w:val="19702E32"/>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32" w15:restartNumberingAfterBreak="0">
    <w:nsid w:val="644D2031"/>
    <w:multiLevelType w:val="hybridMultilevel"/>
    <w:tmpl w:val="FAE0F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9F6586"/>
    <w:multiLevelType w:val="hybridMultilevel"/>
    <w:tmpl w:val="B0F074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511A1C"/>
    <w:multiLevelType w:val="hybridMultilevel"/>
    <w:tmpl w:val="9490BFBE"/>
    <w:lvl w:ilvl="0" w:tplc="8228BDE4">
      <w:start w:val="1"/>
      <w:numFmt w:val="bullet"/>
      <w:lvlText w:val="•"/>
      <w:lvlJc w:val="left"/>
      <w:pPr>
        <w:tabs>
          <w:tab w:val="num" w:pos="720"/>
        </w:tabs>
        <w:ind w:left="720" w:hanging="360"/>
      </w:pPr>
      <w:rPr>
        <w:rFonts w:ascii="Arial" w:hAnsi="Arial" w:hint="default"/>
      </w:rPr>
    </w:lvl>
    <w:lvl w:ilvl="1" w:tplc="5B0439F0" w:tentative="1">
      <w:start w:val="1"/>
      <w:numFmt w:val="bullet"/>
      <w:lvlText w:val="•"/>
      <w:lvlJc w:val="left"/>
      <w:pPr>
        <w:tabs>
          <w:tab w:val="num" w:pos="1440"/>
        </w:tabs>
        <w:ind w:left="1440" w:hanging="360"/>
      </w:pPr>
      <w:rPr>
        <w:rFonts w:ascii="Arial" w:hAnsi="Arial" w:hint="default"/>
      </w:rPr>
    </w:lvl>
    <w:lvl w:ilvl="2" w:tplc="3E7A4D0E" w:tentative="1">
      <w:start w:val="1"/>
      <w:numFmt w:val="bullet"/>
      <w:lvlText w:val="•"/>
      <w:lvlJc w:val="left"/>
      <w:pPr>
        <w:tabs>
          <w:tab w:val="num" w:pos="2160"/>
        </w:tabs>
        <w:ind w:left="2160" w:hanging="360"/>
      </w:pPr>
      <w:rPr>
        <w:rFonts w:ascii="Arial" w:hAnsi="Arial" w:hint="default"/>
      </w:rPr>
    </w:lvl>
    <w:lvl w:ilvl="3" w:tplc="808275CA" w:tentative="1">
      <w:start w:val="1"/>
      <w:numFmt w:val="bullet"/>
      <w:lvlText w:val="•"/>
      <w:lvlJc w:val="left"/>
      <w:pPr>
        <w:tabs>
          <w:tab w:val="num" w:pos="2880"/>
        </w:tabs>
        <w:ind w:left="2880" w:hanging="360"/>
      </w:pPr>
      <w:rPr>
        <w:rFonts w:ascii="Arial" w:hAnsi="Arial" w:hint="default"/>
      </w:rPr>
    </w:lvl>
    <w:lvl w:ilvl="4" w:tplc="2C3EA440" w:tentative="1">
      <w:start w:val="1"/>
      <w:numFmt w:val="bullet"/>
      <w:lvlText w:val="•"/>
      <w:lvlJc w:val="left"/>
      <w:pPr>
        <w:tabs>
          <w:tab w:val="num" w:pos="3600"/>
        </w:tabs>
        <w:ind w:left="3600" w:hanging="360"/>
      </w:pPr>
      <w:rPr>
        <w:rFonts w:ascii="Arial" w:hAnsi="Arial" w:hint="default"/>
      </w:rPr>
    </w:lvl>
    <w:lvl w:ilvl="5" w:tplc="97FAC248" w:tentative="1">
      <w:start w:val="1"/>
      <w:numFmt w:val="bullet"/>
      <w:lvlText w:val="•"/>
      <w:lvlJc w:val="left"/>
      <w:pPr>
        <w:tabs>
          <w:tab w:val="num" w:pos="4320"/>
        </w:tabs>
        <w:ind w:left="4320" w:hanging="360"/>
      </w:pPr>
      <w:rPr>
        <w:rFonts w:ascii="Arial" w:hAnsi="Arial" w:hint="default"/>
      </w:rPr>
    </w:lvl>
    <w:lvl w:ilvl="6" w:tplc="BE9617B2" w:tentative="1">
      <w:start w:val="1"/>
      <w:numFmt w:val="bullet"/>
      <w:lvlText w:val="•"/>
      <w:lvlJc w:val="left"/>
      <w:pPr>
        <w:tabs>
          <w:tab w:val="num" w:pos="5040"/>
        </w:tabs>
        <w:ind w:left="5040" w:hanging="360"/>
      </w:pPr>
      <w:rPr>
        <w:rFonts w:ascii="Arial" w:hAnsi="Arial" w:hint="default"/>
      </w:rPr>
    </w:lvl>
    <w:lvl w:ilvl="7" w:tplc="5A6A0020" w:tentative="1">
      <w:start w:val="1"/>
      <w:numFmt w:val="bullet"/>
      <w:lvlText w:val="•"/>
      <w:lvlJc w:val="left"/>
      <w:pPr>
        <w:tabs>
          <w:tab w:val="num" w:pos="5760"/>
        </w:tabs>
        <w:ind w:left="5760" w:hanging="360"/>
      </w:pPr>
      <w:rPr>
        <w:rFonts w:ascii="Arial" w:hAnsi="Arial" w:hint="default"/>
      </w:rPr>
    </w:lvl>
    <w:lvl w:ilvl="8" w:tplc="2308537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D8B2445"/>
    <w:multiLevelType w:val="multilevel"/>
    <w:tmpl w:val="4978E99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D16381"/>
    <w:multiLevelType w:val="hybridMultilevel"/>
    <w:tmpl w:val="D91A3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05259714">
    <w:abstractNumId w:val="0"/>
  </w:num>
  <w:num w:numId="2" w16cid:durableId="286086363">
    <w:abstractNumId w:val="20"/>
  </w:num>
  <w:num w:numId="3" w16cid:durableId="1109424258">
    <w:abstractNumId w:val="32"/>
  </w:num>
  <w:num w:numId="4" w16cid:durableId="1240597370">
    <w:abstractNumId w:val="31"/>
  </w:num>
  <w:num w:numId="5" w16cid:durableId="1636250289">
    <w:abstractNumId w:val="33"/>
  </w:num>
  <w:num w:numId="6" w16cid:durableId="1182352763">
    <w:abstractNumId w:val="22"/>
  </w:num>
  <w:num w:numId="7" w16cid:durableId="283289">
    <w:abstractNumId w:val="29"/>
  </w:num>
  <w:num w:numId="8" w16cid:durableId="490104423">
    <w:abstractNumId w:val="36"/>
  </w:num>
  <w:num w:numId="9" w16cid:durableId="2131240607">
    <w:abstractNumId w:val="28"/>
  </w:num>
  <w:num w:numId="10" w16cid:durableId="1059982275">
    <w:abstractNumId w:val="15"/>
  </w:num>
  <w:num w:numId="11" w16cid:durableId="1493713182">
    <w:abstractNumId w:val="19"/>
  </w:num>
  <w:num w:numId="12" w16cid:durableId="1111898765">
    <w:abstractNumId w:val="17"/>
  </w:num>
  <w:num w:numId="13" w16cid:durableId="169100896">
    <w:abstractNumId w:val="35"/>
  </w:num>
  <w:num w:numId="14" w16cid:durableId="372197016">
    <w:abstractNumId w:val="5"/>
  </w:num>
  <w:num w:numId="15" w16cid:durableId="625887721">
    <w:abstractNumId w:val="27"/>
  </w:num>
  <w:num w:numId="16" w16cid:durableId="1745298884">
    <w:abstractNumId w:val="13"/>
  </w:num>
  <w:num w:numId="17" w16cid:durableId="1164777779">
    <w:abstractNumId w:val="21"/>
  </w:num>
  <w:num w:numId="18" w16cid:durableId="124660560">
    <w:abstractNumId w:val="25"/>
  </w:num>
  <w:num w:numId="19" w16cid:durableId="1510681673">
    <w:abstractNumId w:val="4"/>
  </w:num>
  <w:num w:numId="20" w16cid:durableId="1565724690">
    <w:abstractNumId w:val="18"/>
  </w:num>
  <w:num w:numId="21" w16cid:durableId="1248540366">
    <w:abstractNumId w:val="24"/>
  </w:num>
  <w:num w:numId="22" w16cid:durableId="786194691">
    <w:abstractNumId w:val="26"/>
  </w:num>
  <w:num w:numId="23" w16cid:durableId="177351643">
    <w:abstractNumId w:val="8"/>
  </w:num>
  <w:num w:numId="24" w16cid:durableId="697704498">
    <w:abstractNumId w:val="11"/>
  </w:num>
  <w:num w:numId="25" w16cid:durableId="1526672856">
    <w:abstractNumId w:val="9"/>
  </w:num>
  <w:num w:numId="26" w16cid:durableId="79176537">
    <w:abstractNumId w:val="6"/>
  </w:num>
  <w:num w:numId="27" w16cid:durableId="1019623768">
    <w:abstractNumId w:val="14"/>
  </w:num>
  <w:num w:numId="28" w16cid:durableId="445196728">
    <w:abstractNumId w:val="3"/>
  </w:num>
  <w:num w:numId="29" w16cid:durableId="874540513">
    <w:abstractNumId w:val="16"/>
  </w:num>
  <w:num w:numId="30" w16cid:durableId="295992527">
    <w:abstractNumId w:val="10"/>
  </w:num>
  <w:num w:numId="31" w16cid:durableId="220748591">
    <w:abstractNumId w:val="12"/>
  </w:num>
  <w:num w:numId="32" w16cid:durableId="1268274178">
    <w:abstractNumId w:val="34"/>
  </w:num>
  <w:num w:numId="33" w16cid:durableId="1809933971">
    <w:abstractNumId w:val="23"/>
  </w:num>
  <w:num w:numId="34" w16cid:durableId="449670868">
    <w:abstractNumId w:val="7"/>
  </w:num>
  <w:num w:numId="35" w16cid:durableId="92093166">
    <w:abstractNumId w:val="2"/>
  </w:num>
  <w:num w:numId="36" w16cid:durableId="1786580505">
    <w:abstractNumId w:val="30"/>
  </w:num>
  <w:num w:numId="37" w16cid:durableId="1159810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AD8"/>
    <w:rsid w:val="0003484B"/>
    <w:rsid w:val="00060E11"/>
    <w:rsid w:val="000730D6"/>
    <w:rsid w:val="00073531"/>
    <w:rsid w:val="000735B0"/>
    <w:rsid w:val="00076CAA"/>
    <w:rsid w:val="0008243B"/>
    <w:rsid w:val="00083D9F"/>
    <w:rsid w:val="000A0451"/>
    <w:rsid w:val="00121960"/>
    <w:rsid w:val="001302B2"/>
    <w:rsid w:val="00153902"/>
    <w:rsid w:val="0015581C"/>
    <w:rsid w:val="00160BD8"/>
    <w:rsid w:val="001819E3"/>
    <w:rsid w:val="00186C95"/>
    <w:rsid w:val="001929E7"/>
    <w:rsid w:val="001C4531"/>
    <w:rsid w:val="001D6EE7"/>
    <w:rsid w:val="001E5F0E"/>
    <w:rsid w:val="001F08C3"/>
    <w:rsid w:val="001F57C4"/>
    <w:rsid w:val="002001A5"/>
    <w:rsid w:val="00210B65"/>
    <w:rsid w:val="002244EC"/>
    <w:rsid w:val="00234452"/>
    <w:rsid w:val="00240CC9"/>
    <w:rsid w:val="00247F7D"/>
    <w:rsid w:val="00256679"/>
    <w:rsid w:val="0026003C"/>
    <w:rsid w:val="002804D6"/>
    <w:rsid w:val="002B4304"/>
    <w:rsid w:val="002C15CB"/>
    <w:rsid w:val="002C48C2"/>
    <w:rsid w:val="002D7593"/>
    <w:rsid w:val="002E52F4"/>
    <w:rsid w:val="002E7625"/>
    <w:rsid w:val="002F13B5"/>
    <w:rsid w:val="002F6F08"/>
    <w:rsid w:val="002F7ACC"/>
    <w:rsid w:val="00304B44"/>
    <w:rsid w:val="00322AB8"/>
    <w:rsid w:val="00325708"/>
    <w:rsid w:val="00332EDD"/>
    <w:rsid w:val="00333C78"/>
    <w:rsid w:val="0034188E"/>
    <w:rsid w:val="00381FDF"/>
    <w:rsid w:val="003824BB"/>
    <w:rsid w:val="003838D1"/>
    <w:rsid w:val="00383AD6"/>
    <w:rsid w:val="003E7801"/>
    <w:rsid w:val="00402694"/>
    <w:rsid w:val="00404E92"/>
    <w:rsid w:val="00406B4F"/>
    <w:rsid w:val="004072C9"/>
    <w:rsid w:val="00433B13"/>
    <w:rsid w:val="00493A4A"/>
    <w:rsid w:val="004A0938"/>
    <w:rsid w:val="004A15CA"/>
    <w:rsid w:val="004A514E"/>
    <w:rsid w:val="004B1827"/>
    <w:rsid w:val="004B19E5"/>
    <w:rsid w:val="004C6B42"/>
    <w:rsid w:val="00525ECA"/>
    <w:rsid w:val="00532090"/>
    <w:rsid w:val="00551837"/>
    <w:rsid w:val="0055263E"/>
    <w:rsid w:val="005668C8"/>
    <w:rsid w:val="00571F14"/>
    <w:rsid w:val="00576AB5"/>
    <w:rsid w:val="00585708"/>
    <w:rsid w:val="005A641F"/>
    <w:rsid w:val="005C5D1E"/>
    <w:rsid w:val="005F18EA"/>
    <w:rsid w:val="006037F7"/>
    <w:rsid w:val="00611BA2"/>
    <w:rsid w:val="00621089"/>
    <w:rsid w:val="006216E1"/>
    <w:rsid w:val="00625BF7"/>
    <w:rsid w:val="00682814"/>
    <w:rsid w:val="00682CDF"/>
    <w:rsid w:val="006A1766"/>
    <w:rsid w:val="006B44BF"/>
    <w:rsid w:val="006B4F39"/>
    <w:rsid w:val="006C76C4"/>
    <w:rsid w:val="006F3930"/>
    <w:rsid w:val="006F4CB2"/>
    <w:rsid w:val="006F5654"/>
    <w:rsid w:val="006F72B5"/>
    <w:rsid w:val="00700F92"/>
    <w:rsid w:val="0070667E"/>
    <w:rsid w:val="00716B6B"/>
    <w:rsid w:val="00724600"/>
    <w:rsid w:val="00735643"/>
    <w:rsid w:val="00741990"/>
    <w:rsid w:val="0075105A"/>
    <w:rsid w:val="0078566B"/>
    <w:rsid w:val="00787F2B"/>
    <w:rsid w:val="00790B27"/>
    <w:rsid w:val="00791C96"/>
    <w:rsid w:val="00797E6D"/>
    <w:rsid w:val="007E4186"/>
    <w:rsid w:val="007F13C6"/>
    <w:rsid w:val="007F41D2"/>
    <w:rsid w:val="007F62A6"/>
    <w:rsid w:val="00805BC5"/>
    <w:rsid w:val="00814C1A"/>
    <w:rsid w:val="00845866"/>
    <w:rsid w:val="00897233"/>
    <w:rsid w:val="008A4461"/>
    <w:rsid w:val="008B088B"/>
    <w:rsid w:val="008B15B5"/>
    <w:rsid w:val="008B7D33"/>
    <w:rsid w:val="008C4A44"/>
    <w:rsid w:val="008F0CA6"/>
    <w:rsid w:val="008F2705"/>
    <w:rsid w:val="00903A78"/>
    <w:rsid w:val="00943022"/>
    <w:rsid w:val="0094789A"/>
    <w:rsid w:val="00950588"/>
    <w:rsid w:val="00955A3E"/>
    <w:rsid w:val="009653FD"/>
    <w:rsid w:val="009813AA"/>
    <w:rsid w:val="0098243F"/>
    <w:rsid w:val="00982A56"/>
    <w:rsid w:val="009A3D17"/>
    <w:rsid w:val="009A43C9"/>
    <w:rsid w:val="009A79A9"/>
    <w:rsid w:val="009E2598"/>
    <w:rsid w:val="00A107EF"/>
    <w:rsid w:val="00A51CB8"/>
    <w:rsid w:val="00A61E5B"/>
    <w:rsid w:val="00A71FDB"/>
    <w:rsid w:val="00A879FA"/>
    <w:rsid w:val="00AB4718"/>
    <w:rsid w:val="00AC4A64"/>
    <w:rsid w:val="00AD66A3"/>
    <w:rsid w:val="00AE3245"/>
    <w:rsid w:val="00AF239D"/>
    <w:rsid w:val="00AF3A52"/>
    <w:rsid w:val="00AF7696"/>
    <w:rsid w:val="00B218C0"/>
    <w:rsid w:val="00B3133B"/>
    <w:rsid w:val="00B45019"/>
    <w:rsid w:val="00B477B7"/>
    <w:rsid w:val="00B56B40"/>
    <w:rsid w:val="00B9054C"/>
    <w:rsid w:val="00BB08D5"/>
    <w:rsid w:val="00BD4CD9"/>
    <w:rsid w:val="00BE12D4"/>
    <w:rsid w:val="00C3092B"/>
    <w:rsid w:val="00C34583"/>
    <w:rsid w:val="00C63693"/>
    <w:rsid w:val="00C651B8"/>
    <w:rsid w:val="00C71635"/>
    <w:rsid w:val="00C77314"/>
    <w:rsid w:val="00C900F3"/>
    <w:rsid w:val="00C91E19"/>
    <w:rsid w:val="00C95C79"/>
    <w:rsid w:val="00CC49A7"/>
    <w:rsid w:val="00CD3D15"/>
    <w:rsid w:val="00CD6E98"/>
    <w:rsid w:val="00CE4C46"/>
    <w:rsid w:val="00CF3D7D"/>
    <w:rsid w:val="00CF6992"/>
    <w:rsid w:val="00D03463"/>
    <w:rsid w:val="00D2362C"/>
    <w:rsid w:val="00D5173E"/>
    <w:rsid w:val="00D76C90"/>
    <w:rsid w:val="00D82E95"/>
    <w:rsid w:val="00D9265A"/>
    <w:rsid w:val="00D94132"/>
    <w:rsid w:val="00DA5BA2"/>
    <w:rsid w:val="00DB14BD"/>
    <w:rsid w:val="00DE213D"/>
    <w:rsid w:val="00DE5FD7"/>
    <w:rsid w:val="00DF0667"/>
    <w:rsid w:val="00DF2452"/>
    <w:rsid w:val="00E15C06"/>
    <w:rsid w:val="00E234E7"/>
    <w:rsid w:val="00E26C86"/>
    <w:rsid w:val="00E37D7F"/>
    <w:rsid w:val="00E472C1"/>
    <w:rsid w:val="00E60AD8"/>
    <w:rsid w:val="00E6289C"/>
    <w:rsid w:val="00E65105"/>
    <w:rsid w:val="00EC3494"/>
    <w:rsid w:val="00ED48E3"/>
    <w:rsid w:val="00EE503F"/>
    <w:rsid w:val="00EF68B4"/>
    <w:rsid w:val="00F2791C"/>
    <w:rsid w:val="00F3327D"/>
    <w:rsid w:val="00F414AC"/>
    <w:rsid w:val="00F607BF"/>
    <w:rsid w:val="00F62624"/>
    <w:rsid w:val="00F85B50"/>
    <w:rsid w:val="00F94832"/>
    <w:rsid w:val="00FA594A"/>
    <w:rsid w:val="00FA5F0E"/>
    <w:rsid w:val="00FB4E72"/>
    <w:rsid w:val="00FE0E7E"/>
    <w:rsid w:val="00FE1518"/>
    <w:rsid w:val="00FE228E"/>
    <w:rsid w:val="00FE2BD2"/>
    <w:rsid w:val="00FE615F"/>
    <w:rsid w:val="00FE6849"/>
    <w:rsid w:val="00FE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0EFCD"/>
  <w15:chartTrackingRefBased/>
  <w15:docId w15:val="{6C9BE754-7942-724B-B405-BFE8FF37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6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AD8"/>
    <w:pPr>
      <w:ind w:left="720"/>
      <w:contextualSpacing/>
    </w:pPr>
  </w:style>
  <w:style w:type="character" w:styleId="CommentReference">
    <w:name w:val="annotation reference"/>
    <w:basedOn w:val="DefaultParagraphFont"/>
    <w:uiPriority w:val="99"/>
    <w:semiHidden/>
    <w:unhideWhenUsed/>
    <w:rsid w:val="00E60AD8"/>
    <w:rPr>
      <w:sz w:val="16"/>
      <w:szCs w:val="16"/>
    </w:rPr>
  </w:style>
  <w:style w:type="paragraph" w:styleId="CommentText">
    <w:name w:val="annotation text"/>
    <w:basedOn w:val="Normal"/>
    <w:link w:val="CommentTextChar"/>
    <w:uiPriority w:val="99"/>
    <w:unhideWhenUsed/>
    <w:rsid w:val="00E60AD8"/>
    <w:pPr>
      <w:spacing w:line="240" w:lineRule="auto"/>
    </w:pPr>
    <w:rPr>
      <w:sz w:val="20"/>
      <w:szCs w:val="20"/>
    </w:rPr>
  </w:style>
  <w:style w:type="character" w:customStyle="1" w:styleId="CommentTextChar">
    <w:name w:val="Comment Text Char"/>
    <w:basedOn w:val="DefaultParagraphFont"/>
    <w:link w:val="CommentText"/>
    <w:uiPriority w:val="99"/>
    <w:rsid w:val="00E60AD8"/>
    <w:rPr>
      <w:sz w:val="20"/>
      <w:szCs w:val="20"/>
    </w:rPr>
  </w:style>
  <w:style w:type="paragraph" w:styleId="Footer">
    <w:name w:val="footer"/>
    <w:basedOn w:val="Normal"/>
    <w:link w:val="FooterChar"/>
    <w:uiPriority w:val="99"/>
    <w:unhideWhenUsed/>
    <w:rsid w:val="00E60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AD8"/>
    <w:rPr>
      <w:sz w:val="22"/>
      <w:szCs w:val="22"/>
    </w:rPr>
  </w:style>
  <w:style w:type="paragraph" w:styleId="Header">
    <w:name w:val="header"/>
    <w:basedOn w:val="Normal"/>
    <w:link w:val="HeaderChar"/>
    <w:uiPriority w:val="99"/>
    <w:unhideWhenUsed/>
    <w:rsid w:val="00E60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AD8"/>
    <w:rPr>
      <w:sz w:val="22"/>
      <w:szCs w:val="22"/>
    </w:rPr>
  </w:style>
  <w:style w:type="character" w:styleId="Hyperlink">
    <w:name w:val="Hyperlink"/>
    <w:basedOn w:val="DefaultParagraphFont"/>
    <w:uiPriority w:val="99"/>
    <w:unhideWhenUsed/>
    <w:rsid w:val="00E60AD8"/>
    <w:rPr>
      <w:color w:val="0563C1" w:themeColor="hyperlink"/>
      <w:u w:val="single"/>
    </w:rPr>
  </w:style>
  <w:style w:type="table" w:styleId="TableGrid">
    <w:name w:val="Table Grid"/>
    <w:basedOn w:val="TableNormal"/>
    <w:uiPriority w:val="59"/>
    <w:rsid w:val="00BE12D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7314"/>
    <w:rPr>
      <w:sz w:val="22"/>
      <w:szCs w:val="22"/>
    </w:rPr>
  </w:style>
  <w:style w:type="paragraph" w:styleId="CommentSubject">
    <w:name w:val="annotation subject"/>
    <w:basedOn w:val="CommentText"/>
    <w:next w:val="CommentText"/>
    <w:link w:val="CommentSubjectChar"/>
    <w:uiPriority w:val="99"/>
    <w:semiHidden/>
    <w:unhideWhenUsed/>
    <w:rsid w:val="00B56B40"/>
    <w:rPr>
      <w:b/>
      <w:bCs/>
    </w:rPr>
  </w:style>
  <w:style w:type="character" w:customStyle="1" w:styleId="CommentSubjectChar">
    <w:name w:val="Comment Subject Char"/>
    <w:basedOn w:val="CommentTextChar"/>
    <w:link w:val="CommentSubject"/>
    <w:uiPriority w:val="99"/>
    <w:semiHidden/>
    <w:rsid w:val="00B56B40"/>
    <w:rPr>
      <w:b/>
      <w:bCs/>
      <w:sz w:val="20"/>
      <w:szCs w:val="20"/>
    </w:rPr>
  </w:style>
  <w:style w:type="paragraph" w:styleId="BalloonText">
    <w:name w:val="Balloon Text"/>
    <w:basedOn w:val="Normal"/>
    <w:link w:val="BalloonTextChar"/>
    <w:uiPriority w:val="99"/>
    <w:semiHidden/>
    <w:unhideWhenUsed/>
    <w:rsid w:val="007E4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186"/>
    <w:rPr>
      <w:rFonts w:ascii="Tahoma" w:hAnsi="Tahoma" w:cs="Tahoma"/>
      <w:sz w:val="16"/>
      <w:szCs w:val="16"/>
    </w:rPr>
  </w:style>
  <w:style w:type="character" w:styleId="UnresolvedMention">
    <w:name w:val="Unresolved Mention"/>
    <w:basedOn w:val="DefaultParagraphFont"/>
    <w:uiPriority w:val="99"/>
    <w:semiHidden/>
    <w:unhideWhenUsed/>
    <w:rsid w:val="00DE5FD7"/>
    <w:rPr>
      <w:color w:val="605E5C"/>
      <w:shd w:val="clear" w:color="auto" w:fill="E1DFDD"/>
    </w:rPr>
  </w:style>
  <w:style w:type="character" w:styleId="FollowedHyperlink">
    <w:name w:val="FollowedHyperlink"/>
    <w:basedOn w:val="DefaultParagraphFont"/>
    <w:uiPriority w:val="99"/>
    <w:semiHidden/>
    <w:unhideWhenUsed/>
    <w:rsid w:val="00576A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06438">
      <w:bodyDiv w:val="1"/>
      <w:marLeft w:val="0"/>
      <w:marRight w:val="0"/>
      <w:marTop w:val="0"/>
      <w:marBottom w:val="0"/>
      <w:divBdr>
        <w:top w:val="none" w:sz="0" w:space="0" w:color="auto"/>
        <w:left w:val="none" w:sz="0" w:space="0" w:color="auto"/>
        <w:bottom w:val="none" w:sz="0" w:space="0" w:color="auto"/>
        <w:right w:val="none" w:sz="0" w:space="0" w:color="auto"/>
      </w:divBdr>
    </w:div>
    <w:div w:id="759519451">
      <w:bodyDiv w:val="1"/>
      <w:marLeft w:val="0"/>
      <w:marRight w:val="0"/>
      <w:marTop w:val="0"/>
      <w:marBottom w:val="0"/>
      <w:divBdr>
        <w:top w:val="none" w:sz="0" w:space="0" w:color="auto"/>
        <w:left w:val="none" w:sz="0" w:space="0" w:color="auto"/>
        <w:bottom w:val="none" w:sz="0" w:space="0" w:color="auto"/>
        <w:right w:val="none" w:sz="0" w:space="0" w:color="auto"/>
      </w:divBdr>
      <w:divsChild>
        <w:div w:id="1938825593">
          <w:marLeft w:val="547"/>
          <w:marRight w:val="0"/>
          <w:marTop w:val="0"/>
          <w:marBottom w:val="0"/>
          <w:divBdr>
            <w:top w:val="none" w:sz="0" w:space="0" w:color="auto"/>
            <w:left w:val="none" w:sz="0" w:space="0" w:color="auto"/>
            <w:bottom w:val="none" w:sz="0" w:space="0" w:color="auto"/>
            <w:right w:val="none" w:sz="0" w:space="0" w:color="auto"/>
          </w:divBdr>
        </w:div>
        <w:div w:id="93985208">
          <w:marLeft w:val="1166"/>
          <w:marRight w:val="0"/>
          <w:marTop w:val="0"/>
          <w:marBottom w:val="0"/>
          <w:divBdr>
            <w:top w:val="none" w:sz="0" w:space="0" w:color="auto"/>
            <w:left w:val="none" w:sz="0" w:space="0" w:color="auto"/>
            <w:bottom w:val="none" w:sz="0" w:space="0" w:color="auto"/>
            <w:right w:val="none" w:sz="0" w:space="0" w:color="auto"/>
          </w:divBdr>
        </w:div>
        <w:div w:id="2025551521">
          <w:marLeft w:val="1166"/>
          <w:marRight w:val="0"/>
          <w:marTop w:val="0"/>
          <w:marBottom w:val="0"/>
          <w:divBdr>
            <w:top w:val="none" w:sz="0" w:space="0" w:color="auto"/>
            <w:left w:val="none" w:sz="0" w:space="0" w:color="auto"/>
            <w:bottom w:val="none" w:sz="0" w:space="0" w:color="auto"/>
            <w:right w:val="none" w:sz="0" w:space="0" w:color="auto"/>
          </w:divBdr>
        </w:div>
        <w:div w:id="115607956">
          <w:marLeft w:val="1166"/>
          <w:marRight w:val="0"/>
          <w:marTop w:val="0"/>
          <w:marBottom w:val="0"/>
          <w:divBdr>
            <w:top w:val="none" w:sz="0" w:space="0" w:color="auto"/>
            <w:left w:val="none" w:sz="0" w:space="0" w:color="auto"/>
            <w:bottom w:val="none" w:sz="0" w:space="0" w:color="auto"/>
            <w:right w:val="none" w:sz="0" w:space="0" w:color="auto"/>
          </w:divBdr>
        </w:div>
        <w:div w:id="1858352909">
          <w:marLeft w:val="1166"/>
          <w:marRight w:val="0"/>
          <w:marTop w:val="0"/>
          <w:marBottom w:val="0"/>
          <w:divBdr>
            <w:top w:val="none" w:sz="0" w:space="0" w:color="auto"/>
            <w:left w:val="none" w:sz="0" w:space="0" w:color="auto"/>
            <w:bottom w:val="none" w:sz="0" w:space="0" w:color="auto"/>
            <w:right w:val="none" w:sz="0" w:space="0" w:color="auto"/>
          </w:divBdr>
        </w:div>
        <w:div w:id="946424234">
          <w:marLeft w:val="1166"/>
          <w:marRight w:val="0"/>
          <w:marTop w:val="0"/>
          <w:marBottom w:val="0"/>
          <w:divBdr>
            <w:top w:val="none" w:sz="0" w:space="0" w:color="auto"/>
            <w:left w:val="none" w:sz="0" w:space="0" w:color="auto"/>
            <w:bottom w:val="none" w:sz="0" w:space="0" w:color="auto"/>
            <w:right w:val="none" w:sz="0" w:space="0" w:color="auto"/>
          </w:divBdr>
        </w:div>
        <w:div w:id="229779310">
          <w:marLeft w:val="1166"/>
          <w:marRight w:val="0"/>
          <w:marTop w:val="0"/>
          <w:marBottom w:val="0"/>
          <w:divBdr>
            <w:top w:val="none" w:sz="0" w:space="0" w:color="auto"/>
            <w:left w:val="none" w:sz="0" w:space="0" w:color="auto"/>
            <w:bottom w:val="none" w:sz="0" w:space="0" w:color="auto"/>
            <w:right w:val="none" w:sz="0" w:space="0" w:color="auto"/>
          </w:divBdr>
        </w:div>
        <w:div w:id="1584946594">
          <w:marLeft w:val="1166"/>
          <w:marRight w:val="0"/>
          <w:marTop w:val="0"/>
          <w:marBottom w:val="0"/>
          <w:divBdr>
            <w:top w:val="none" w:sz="0" w:space="0" w:color="auto"/>
            <w:left w:val="none" w:sz="0" w:space="0" w:color="auto"/>
            <w:bottom w:val="none" w:sz="0" w:space="0" w:color="auto"/>
            <w:right w:val="none" w:sz="0" w:space="0" w:color="auto"/>
          </w:divBdr>
        </w:div>
        <w:div w:id="1044332865">
          <w:marLeft w:val="1166"/>
          <w:marRight w:val="0"/>
          <w:marTop w:val="0"/>
          <w:marBottom w:val="0"/>
          <w:divBdr>
            <w:top w:val="none" w:sz="0" w:space="0" w:color="auto"/>
            <w:left w:val="none" w:sz="0" w:space="0" w:color="auto"/>
            <w:bottom w:val="none" w:sz="0" w:space="0" w:color="auto"/>
            <w:right w:val="none" w:sz="0" w:space="0" w:color="auto"/>
          </w:divBdr>
        </w:div>
        <w:div w:id="1205797999">
          <w:marLeft w:val="1166"/>
          <w:marRight w:val="0"/>
          <w:marTop w:val="0"/>
          <w:marBottom w:val="0"/>
          <w:divBdr>
            <w:top w:val="none" w:sz="0" w:space="0" w:color="auto"/>
            <w:left w:val="none" w:sz="0" w:space="0" w:color="auto"/>
            <w:bottom w:val="none" w:sz="0" w:space="0" w:color="auto"/>
            <w:right w:val="none" w:sz="0" w:space="0" w:color="auto"/>
          </w:divBdr>
        </w:div>
      </w:divsChild>
    </w:div>
    <w:div w:id="937450500">
      <w:bodyDiv w:val="1"/>
      <w:marLeft w:val="0"/>
      <w:marRight w:val="0"/>
      <w:marTop w:val="0"/>
      <w:marBottom w:val="0"/>
      <w:divBdr>
        <w:top w:val="none" w:sz="0" w:space="0" w:color="auto"/>
        <w:left w:val="none" w:sz="0" w:space="0" w:color="auto"/>
        <w:bottom w:val="none" w:sz="0" w:space="0" w:color="auto"/>
        <w:right w:val="none" w:sz="0" w:space="0" w:color="auto"/>
      </w:divBdr>
      <w:divsChild>
        <w:div w:id="831260547">
          <w:marLeft w:val="547"/>
          <w:marRight w:val="0"/>
          <w:marTop w:val="0"/>
          <w:marBottom w:val="0"/>
          <w:divBdr>
            <w:top w:val="none" w:sz="0" w:space="0" w:color="auto"/>
            <w:left w:val="none" w:sz="0" w:space="0" w:color="auto"/>
            <w:bottom w:val="none" w:sz="0" w:space="0" w:color="auto"/>
            <w:right w:val="none" w:sz="0" w:space="0" w:color="auto"/>
          </w:divBdr>
        </w:div>
      </w:divsChild>
    </w:div>
    <w:div w:id="1793475618">
      <w:bodyDiv w:val="1"/>
      <w:marLeft w:val="0"/>
      <w:marRight w:val="0"/>
      <w:marTop w:val="0"/>
      <w:marBottom w:val="0"/>
      <w:divBdr>
        <w:top w:val="none" w:sz="0" w:space="0" w:color="auto"/>
        <w:left w:val="none" w:sz="0" w:space="0" w:color="auto"/>
        <w:bottom w:val="none" w:sz="0" w:space="0" w:color="auto"/>
        <w:right w:val="none" w:sz="0" w:space="0" w:color="auto"/>
      </w:divBdr>
      <w:divsChild>
        <w:div w:id="1023552585">
          <w:marLeft w:val="1886"/>
          <w:marRight w:val="0"/>
          <w:marTop w:val="80"/>
          <w:marBottom w:val="0"/>
          <w:divBdr>
            <w:top w:val="none" w:sz="0" w:space="0" w:color="auto"/>
            <w:left w:val="none" w:sz="0" w:space="0" w:color="auto"/>
            <w:bottom w:val="none" w:sz="0" w:space="0" w:color="auto"/>
            <w:right w:val="none" w:sz="0" w:space="0" w:color="auto"/>
          </w:divBdr>
        </w:div>
        <w:div w:id="2049985954">
          <w:marLeft w:val="1886"/>
          <w:marRight w:val="0"/>
          <w:marTop w:val="80"/>
          <w:marBottom w:val="0"/>
          <w:divBdr>
            <w:top w:val="none" w:sz="0" w:space="0" w:color="auto"/>
            <w:left w:val="none" w:sz="0" w:space="0" w:color="auto"/>
            <w:bottom w:val="none" w:sz="0" w:space="0" w:color="auto"/>
            <w:right w:val="none" w:sz="0" w:space="0" w:color="auto"/>
          </w:divBdr>
        </w:div>
        <w:div w:id="317197529">
          <w:marLeft w:val="1886"/>
          <w:marRight w:val="0"/>
          <w:marTop w:val="80"/>
          <w:marBottom w:val="0"/>
          <w:divBdr>
            <w:top w:val="none" w:sz="0" w:space="0" w:color="auto"/>
            <w:left w:val="none" w:sz="0" w:space="0" w:color="auto"/>
            <w:bottom w:val="none" w:sz="0" w:space="0" w:color="auto"/>
            <w:right w:val="none" w:sz="0" w:space="0" w:color="auto"/>
          </w:divBdr>
        </w:div>
        <w:div w:id="2067953358">
          <w:marLeft w:val="188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ysabrihcp.com/content/dam/commercial/tysabri/hcp/en_us/pdf/tysabri_prescribing_information.pdf" TargetMode="External"/><Relationship Id="rId3" Type="http://schemas.openxmlformats.org/officeDocument/2006/relationships/settings" Target="settings.xml"/><Relationship Id="rId7" Type="http://schemas.openxmlformats.org/officeDocument/2006/relationships/hyperlink" Target="https://www.tysabrihcp.com/content/dam/commercial/tysabri/hcp/en_us/pdf/tysabri_prescribing_inform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ysabrihcp.com/content/dam/commercial/tysabri/hcp/en_us/pdf/tysabri_prescribing_information.pdf" TargetMode="External"/><Relationship Id="rId11" Type="http://schemas.openxmlformats.org/officeDocument/2006/relationships/theme" Target="theme/theme1.xml"/><Relationship Id="rId5" Type="http://schemas.openxmlformats.org/officeDocument/2006/relationships/hyperlink" Target="https://www.tysabrihcp.com/content/dam/commercial/tysabri/hcp/en_us/pdf/tysabri_prescribing_information.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ysabrihcp.com/content/dam/commercial/tysabri/hcp/en_us/pdf/tysabri_prescribing_inform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3455</Words>
  <Characters>19697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Willett, Haley</dc:creator>
  <cp:keywords/>
  <dc:description/>
  <cp:lastModifiedBy>Sainz, Alexa</cp:lastModifiedBy>
  <cp:revision>2</cp:revision>
  <cp:lastPrinted>2023-02-23T23:36:00Z</cp:lastPrinted>
  <dcterms:created xsi:type="dcterms:W3CDTF">2023-06-05T14:30:00Z</dcterms:created>
  <dcterms:modified xsi:type="dcterms:W3CDTF">2023-06-05T14:30:00Z</dcterms:modified>
</cp:coreProperties>
</file>